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w: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30, 2026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______________________________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The Baldwin Insurance Group, Inc.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w:t>
      </w:r>
    </w:p>
    <w:tbl>
      <w:tblPr>
        <w:tblW w:w="6199" w:type="dxa"/>
        <w:jc w:val="left"/>
        <w:tblInd w:w="0" w:type="dxa"/>
        <w:tblLayout w:type="fixed"/>
        <w:tblCellMar>
          <w:top w:w="28" w:type="dxa"/>
          <w:left w:w="28" w:type="dxa"/>
          <w:bottom w:w="28" w:type="dxa"/>
          <w:right w:w="28" w:type="dxa"/>
        </w:tblCellMar>
      </w:tblPr>
      <w:tblGrid>
        <w:gridCol w:w="124"/>
        <w:gridCol w:w="109"/>
        <w:gridCol w:w="109"/>
        <w:gridCol w:w="782"/>
        <w:gridCol w:w="782"/>
        <w:gridCol w:w="791"/>
        <w:gridCol w:w="109"/>
        <w:gridCol w:w="109"/>
        <w:gridCol w:w="109"/>
        <w:gridCol w:w="344"/>
        <w:gridCol w:w="344"/>
        <w:gridCol w:w="348"/>
        <w:gridCol w:w="109"/>
        <w:gridCol w:w="109"/>
        <w:gridCol w:w="109"/>
        <w:gridCol w:w="479"/>
        <w:gridCol w:w="479"/>
        <w:gridCol w:w="4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61-1937225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4211 W. Boy Scout Blvd., Suite 800, Tampa, Florida 33607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(866) 279-0698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10205" w:type="dxa"/>
        <w:jc w:val="center"/>
        <w:tblInd w:w="0" w:type="dxa"/>
        <w:tblLayout w:type="fixed"/>
        <w:tblCellMar>
          <w:top w:w="28" w:type="dxa"/>
          <w:left w:w="28" w:type="dxa"/>
          <w:bottom w:w="28" w:type="dxa"/>
          <w:right w:w="28" w:type="dxa"/>
        </w:tblCellMar>
      </w:tblPr>
      <w:tblGrid>
        <w:gridCol w:w="1490"/>
        <w:gridCol w:w="1313"/>
        <w:gridCol w:w="1313"/>
        <w:gridCol w:w="2120"/>
        <w:gridCol w:w="1787"/>
        <w:gridCol w:w="1806"/>
        <w:gridCol w:w="109"/>
        <w:gridCol w:w="109"/>
        <w:gridCol w:w="158"/>
      </w:tblGrid>
      <w:tr>
        <w:trPr/>
        <w:tc>
          <w:tcPr>
            <w:tcW w:w="149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 (b) under the Exchange Act (17 CFR 240.14d-2(b))</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411" w:type="dxa"/>
        <w:jc w:val="center"/>
        <w:tblInd w:w="0" w:type="dxa"/>
        <w:tblLayout w:type="fixed"/>
        <w:tblCellMar>
          <w:top w:w="28" w:type="dxa"/>
          <w:left w:w="28" w:type="dxa"/>
          <w:bottom w:w="28" w:type="dxa"/>
          <w:right w:w="28" w:type="dxa"/>
        </w:tblCellMar>
      </w:tblPr>
      <w:tblGrid>
        <w:gridCol w:w="1442"/>
        <w:gridCol w:w="1265"/>
        <w:gridCol w:w="1282"/>
        <w:gridCol w:w="109"/>
        <w:gridCol w:w="109"/>
        <w:gridCol w:w="109"/>
        <w:gridCol w:w="484"/>
        <w:gridCol w:w="484"/>
        <w:gridCol w:w="486"/>
        <w:gridCol w:w="109"/>
        <w:gridCol w:w="109"/>
        <w:gridCol w:w="109"/>
        <w:gridCol w:w="970"/>
        <w:gridCol w:w="970"/>
        <w:gridCol w:w="1374"/>
      </w:tblGrid>
      <w:tr>
        <w:trPr/>
        <w:tc>
          <w:tcPr>
            <w:tcW w:w="144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44" w:type="dxa"/>
        <w:jc w:val="center"/>
        <w:tblInd w:w="0" w:type="dxa"/>
        <w:tblLayout w:type="fixed"/>
        <w:tblCellMar>
          <w:top w:w="28" w:type="dxa"/>
          <w:left w:w="28" w:type="dxa"/>
          <w:bottom w:w="28" w:type="dxa"/>
          <w:right w:w="28" w:type="dxa"/>
        </w:tblCellMar>
      </w:tblPr>
      <w:tblGrid>
        <w:gridCol w:w="124"/>
        <w:gridCol w:w="109"/>
        <w:gridCol w:w="109"/>
        <w:gridCol w:w="709"/>
        <w:gridCol w:w="709"/>
        <w:gridCol w:w="7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2026, The Baldwin Insurance Group, Inc. issued a press release announcing its financial results for the quarter ended June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72" w:type="dxa"/>
        <w:jc w:val="center"/>
        <w:tblInd w:w="0" w:type="dxa"/>
        <w:tblLayout w:type="fixed"/>
        <w:tblCellMar>
          <w:top w:w="28" w:type="dxa"/>
          <w:left w:w="28" w:type="dxa"/>
          <w:bottom w:w="28" w:type="dxa"/>
          <w:right w:w="28" w:type="dxa"/>
        </w:tblCellMar>
      </w:tblPr>
      <w:tblGrid>
        <w:gridCol w:w="342"/>
        <w:gridCol w:w="300"/>
        <w:gridCol w:w="303"/>
        <w:gridCol w:w="109"/>
        <w:gridCol w:w="109"/>
        <w:gridCol w:w="109"/>
        <w:gridCol w:w="1927"/>
        <w:gridCol w:w="1927"/>
        <w:gridCol w:w="274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fy2026q2earningsrele.htm">
              <w:r>
                <w:rPr>
                  <w:rStyle w:val="InternetLink"/>
                  <w:rFonts w:ascii="Times New Roman;serif" w:hAnsi="Times New Roman;serif"/>
                  <w:b w:val="false"/>
                  <w:color w:val="0000FF"/>
                  <w:sz w:val="20"/>
                  <w:u w:val="single"/>
                </w:rPr>
                <w:t>Press release issued by The Baldwin Insurance Group, Inc. on July 30,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35"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484"/>
        <w:gridCol w:w="484"/>
        <w:gridCol w:w="484"/>
        <w:gridCol w:w="602"/>
        <w:gridCol w:w="602"/>
        <w:gridCol w:w="86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Baldwin Insurance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 Hale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 Hale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180" w:after="283"/>
        <w:jc w:val="right"/>
        <w:rPr>
          <w:rFonts w:ascii="Open Sans;sans-serif" w:hAnsi="Open Sans;sans-serif"/>
          <w:b/>
          <w:color w:val="000000"/>
          <w:sz w:val="18"/>
        </w:rPr>
      </w:pPr>
      <w:r>
        <w:rPr>
          <w:rFonts w:ascii="Open Sans;sans-serif" w:hAnsi="Open Sans;sans-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1.4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both"/>
        <w:rPr/>
      </w:pPr>
      <w:r>
        <w:rPr/>
        <w:drawing>
          <wp:inline distT="0" distB="0" distL="0" distR="0">
            <wp:extent cx="3009900"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009900" cy="523875"/>
                    </a:xfrm>
                    <a:prstGeom prst="rect">
                      <a:avLst/>
                    </a:prstGeom>
                  </pic:spPr>
                </pic:pic>
              </a:graphicData>
            </a:graphic>
          </wp:inline>
        </w:drawing>
      </w:r>
    </w:p>
    <w:p>
      <w:pPr>
        <w:pStyle w:val="TextBody"/>
        <w:bidi w:val="0"/>
        <w:spacing w:lineRule="auto" w:line="417" w:before="0" w:after="0"/>
        <w:jc w:val="center"/>
        <w:rPr>
          <w:rFonts w:ascii="Open Sans;sans-serif" w:hAnsi="Open Sans;sans-serif"/>
          <w:b/>
          <w:color w:val="000000"/>
          <w:sz w:val="24"/>
        </w:rPr>
      </w:pPr>
      <w:r>
        <w:rPr>
          <w:rFonts w:ascii="Open Sans;sans-serif" w:hAnsi="Open Sans;sans-serif"/>
          <w:b/>
          <w:color w:val="000000"/>
          <w:sz w:val="24"/>
        </w:rPr>
        <w:t>THE BALDWIN GROUP ANNOUNCES SECOND QUARTER 2026 RESULTS</w:t>
      </w:r>
    </w:p>
    <w:p>
      <w:pPr>
        <w:pStyle w:val="TextBody"/>
        <w:bidi w:val="0"/>
        <w:spacing w:lineRule="auto" w:line="417" w:before="240" w:after="283"/>
        <w:jc w:val="center"/>
        <w:rPr>
          <w:color w:val="000000"/>
        </w:rPr>
      </w:pPr>
      <w:r>
        <w:rPr>
          <w:color w:val="000000"/>
        </w:rPr>
        <w:t xml:space="preserve">— </w:t>
      </w:r>
      <w:r>
        <w:rPr>
          <w:rFonts w:ascii="Open Sans;sans-serif" w:hAnsi="Open Sans;sans-serif"/>
          <w:b w:val="false"/>
          <w:i/>
          <w:color w:val="000000"/>
          <w:sz w:val="22"/>
        </w:rPr>
        <w:t>Second Quarter Total Revenue Growth of 30% to $492.9 Million —</w:t>
      </w:r>
    </w:p>
    <w:p>
      <w:pPr>
        <w:pStyle w:val="TextBody"/>
        <w:bidi w:val="0"/>
        <w:spacing w:lineRule="auto" w:line="417" w:before="240" w:after="283"/>
        <w:jc w:val="center"/>
        <w:rPr/>
      </w:pPr>
      <w:r>
        <w:rPr>
          <w:color w:val="000000"/>
        </w:rPr>
        <w:t xml:space="preserve">— </w:t>
      </w:r>
      <w:r>
        <w:rPr>
          <w:rFonts w:ascii="Open Sans;sans-serif" w:hAnsi="Open Sans;sans-serif"/>
          <w:b w:val="false"/>
          <w:i/>
          <w:color w:val="000000"/>
          <w:sz w:val="22"/>
        </w:rPr>
        <w:t>Second Quarter Net Loss of $56.0 Million; Adjusted EBITDA</w:t>
      </w:r>
      <w:r>
        <w:rPr>
          <w:rFonts w:ascii="Open Sans;sans-serif" w:hAnsi="Open Sans;sans-serif"/>
          <w:b w:val="false"/>
          <w:i/>
          <w:color w:val="000000"/>
          <w:sz w:val="14"/>
        </w:rPr>
        <w:t>(1)</w:t>
      </w:r>
      <w:r>
        <w:rPr>
          <w:color w:val="000000"/>
        </w:rPr>
        <w:t xml:space="preserve"> </w:t>
      </w:r>
      <w:r>
        <w:rPr>
          <w:rFonts w:ascii="Open Sans;sans-serif" w:hAnsi="Open Sans;sans-serif"/>
          <w:b w:val="false"/>
          <w:i/>
          <w:color w:val="000000"/>
          <w:sz w:val="22"/>
        </w:rPr>
        <w:t>Growth of 37% to $116.7 Million —</w:t>
      </w:r>
    </w:p>
    <w:p>
      <w:pPr>
        <w:pStyle w:val="TextBody"/>
        <w:bidi w:val="0"/>
        <w:spacing w:lineRule="auto" w:line="417" w:before="240" w:after="283"/>
        <w:jc w:val="center"/>
        <w:rPr/>
      </w:pPr>
      <w:r>
        <w:rPr>
          <w:color w:val="000000"/>
        </w:rPr>
        <w:t xml:space="preserve">— </w:t>
      </w:r>
      <w:r>
        <w:rPr>
          <w:rFonts w:ascii="Open Sans;sans-serif" w:hAnsi="Open Sans;sans-serif"/>
          <w:b w:val="false"/>
          <w:i/>
          <w:color w:val="000000"/>
          <w:sz w:val="22"/>
        </w:rPr>
        <w:t>Second Quarter Diluted Loss Per Share of $0.42; Adjusted Diluted EPS</w:t>
      </w:r>
      <w:r>
        <w:rPr>
          <w:rFonts w:ascii="Open Sans;sans-serif" w:hAnsi="Open Sans;sans-serif"/>
          <w:b w:val="false"/>
          <w:i/>
          <w:color w:val="000000"/>
          <w:sz w:val="14"/>
        </w:rPr>
        <w:t>(2)</w:t>
      </w:r>
      <w:r>
        <w:rPr>
          <w:color w:val="000000"/>
        </w:rPr>
        <w:t xml:space="preserve"> </w:t>
      </w:r>
      <w:r>
        <w:rPr>
          <w:rFonts w:ascii="Open Sans;sans-serif" w:hAnsi="Open Sans;sans-serif"/>
          <w:b w:val="false"/>
          <w:i/>
          <w:color w:val="000000"/>
          <w:sz w:val="22"/>
        </w:rPr>
        <w:t>of $0.48 —</w:t>
      </w:r>
    </w:p>
    <w:p>
      <w:pPr>
        <w:pStyle w:val="TextBody"/>
        <w:bidi w:val="0"/>
        <w:spacing w:lineRule="auto" w:line="417" w:before="240" w:after="283"/>
        <w:jc w:val="center"/>
        <w:rPr/>
      </w:pPr>
      <w:r>
        <w:rPr>
          <w:color w:val="000000"/>
        </w:rPr>
        <w:t xml:space="preserve">— </w:t>
      </w:r>
      <w:r>
        <w:rPr>
          <w:rFonts w:ascii="Open Sans;sans-serif" w:hAnsi="Open Sans;sans-serif"/>
          <w:b w:val="false"/>
          <w:i/>
          <w:color w:val="000000"/>
          <w:sz w:val="22"/>
        </w:rPr>
        <w:t>Second Quarter Net Loss Margin of 11%; Adjusted EBITDA Margin</w:t>
      </w:r>
      <w:r>
        <w:rPr>
          <w:rFonts w:ascii="Open Sans;sans-serif" w:hAnsi="Open Sans;sans-serif"/>
          <w:b w:val="false"/>
          <w:i/>
          <w:color w:val="000000"/>
          <w:sz w:val="14"/>
        </w:rPr>
        <w:t>(1)</w:t>
      </w:r>
      <w:r>
        <w:rPr>
          <w:color w:val="000000"/>
        </w:rPr>
        <w:t xml:space="preserve"> </w:t>
      </w:r>
      <w:r>
        <w:rPr>
          <w:rFonts w:ascii="Open Sans;sans-serif" w:hAnsi="Open Sans;sans-serif"/>
          <w:b w:val="false"/>
          <w:i/>
          <w:color w:val="000000"/>
          <w:sz w:val="22"/>
        </w:rPr>
        <w:t>of 24% —</w:t>
      </w:r>
    </w:p>
    <w:p>
      <w:pPr>
        <w:pStyle w:val="TextBody"/>
        <w:bidi w:val="0"/>
        <w:spacing w:lineRule="auto" w:line="417" w:before="240" w:after="283"/>
        <w:jc w:val="center"/>
        <w:rPr/>
      </w:pPr>
      <w:r>
        <w:rPr>
          <w:color w:val="000000"/>
        </w:rPr>
        <w:t xml:space="preserve">— </w:t>
      </w:r>
      <w:r>
        <w:rPr>
          <w:rFonts w:ascii="Open Sans;sans-serif" w:hAnsi="Open Sans;sans-serif"/>
          <w:b w:val="false"/>
          <w:i/>
          <w:color w:val="000000"/>
          <w:sz w:val="22"/>
        </w:rPr>
        <w:t>Second Quarter Net Cash Provided by Operating Activities of $45.6 Million; Adjusted Free Cash Flow</w:t>
      </w:r>
      <w:r>
        <w:rPr>
          <w:rFonts w:ascii="Open Sans;sans-serif" w:hAnsi="Open Sans;sans-serif"/>
          <w:b w:val="false"/>
          <w:i/>
          <w:color w:val="000000"/>
          <w:sz w:val="14"/>
        </w:rPr>
        <w:t>(3)</w:t>
      </w:r>
      <w:r>
        <w:rPr>
          <w:color w:val="000000"/>
        </w:rPr>
        <w:t xml:space="preserve"> </w:t>
      </w:r>
      <w:r>
        <w:rPr>
          <w:rFonts w:ascii="Open Sans;sans-serif" w:hAnsi="Open Sans;sans-serif"/>
          <w:b w:val="false"/>
          <w:i/>
          <w:color w:val="000000"/>
          <w:sz w:val="22"/>
        </w:rPr>
        <w:t>Increased 437% to $46.4 Million —</w:t>
      </w:r>
    </w:p>
    <w:p>
      <w:pPr>
        <w:pStyle w:val="TextBody"/>
        <w:bidi w:val="0"/>
        <w:spacing w:lineRule="auto" w:line="417" w:before="240" w:after="283"/>
        <w:jc w:val="center"/>
        <w:rPr>
          <w:color w:val="000000"/>
        </w:rPr>
      </w:pPr>
      <w:r>
        <w:rPr>
          <w:color w:val="000000"/>
        </w:rPr>
        <w:t xml:space="preserve">— </w:t>
      </w:r>
      <w:r>
        <w:rPr>
          <w:rFonts w:ascii="Open Sans;sans-serif" w:hAnsi="Open Sans;sans-serif"/>
          <w:b w:val="false"/>
          <w:i/>
          <w:color w:val="000000"/>
          <w:sz w:val="22"/>
        </w:rPr>
        <w:t>Year-to-Date Net Cash Provided by Operating Activities of $39.5 Million; Adjusted Free Cash Flow Increased 34% to $46.2 Million —</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TAMPA, FLORIDA - July 30, 2026 - The Baldwin Group, the brand name for The Baldwin Insurance Group, Inc. (“Baldwin” or the “Company”) (NASDAQ: BWIN), an independent insurance distribution firm delivering tailored insurance solutions to a wide range of personal and commercial clients, today announced its results for the second quarter ended June 30, 2026.</w: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SECOND QUARTER 2026 HIGHLIGHTS</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 xml:space="preserve">Total revenue increased 30% year-over-year to $492.9 million </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Organic revenue growth</w:t>
      </w:r>
      <w:r>
        <w:rPr>
          <w:rFonts w:ascii="Open Sans;sans-serif" w:hAnsi="Open Sans;sans-serif"/>
          <w:b w:val="false"/>
          <w:color w:val="000000"/>
          <w:sz w:val="12"/>
        </w:rPr>
        <w:t>(4)</w:t>
      </w:r>
      <w:r>
        <w:rPr>
          <w:color w:val="000000"/>
        </w:rPr>
        <w:t xml:space="preserve"> </w:t>
      </w:r>
      <w:r>
        <w:rPr>
          <w:rFonts w:ascii="Open Sans;sans-serif" w:hAnsi="Open Sans;sans-serif"/>
          <w:b w:val="false"/>
          <w:color w:val="000000"/>
          <w:sz w:val="18"/>
        </w:rPr>
        <w:t>of 2% year-over-year</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CAC Group total revenue growth</w:t>
      </w:r>
      <w:r>
        <w:rPr>
          <w:rFonts w:ascii="Open Sans;sans-serif" w:hAnsi="Open Sans;sans-serif"/>
          <w:b w:val="false"/>
          <w:color w:val="000000"/>
          <w:sz w:val="12"/>
        </w:rPr>
        <w:t>(5)</w:t>
      </w:r>
      <w:r>
        <w:rPr>
          <w:color w:val="000000"/>
        </w:rPr>
        <w:t xml:space="preserve"> </w:t>
      </w:r>
      <w:r>
        <w:rPr>
          <w:rFonts w:ascii="Open Sans;sans-serif" w:hAnsi="Open Sans;sans-serif"/>
          <w:b w:val="false"/>
          <w:color w:val="000000"/>
          <w:sz w:val="18"/>
        </w:rPr>
        <w:t>of 23% year-over-year</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GAAP net loss of $56.0 million and GAAP diluted loss per share of $0.42</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net income</w:t>
      </w:r>
      <w:r>
        <w:rPr>
          <w:rFonts w:ascii="Open Sans;sans-serif" w:hAnsi="Open Sans;sans-serif"/>
          <w:b w:val="false"/>
          <w:color w:val="000000"/>
          <w:sz w:val="12"/>
        </w:rPr>
        <w:t>(2)</w:t>
      </w:r>
      <w:r>
        <w:rPr>
          <w:color w:val="000000"/>
        </w:rPr>
        <w:t xml:space="preserve"> </w:t>
      </w:r>
      <w:r>
        <w:rPr>
          <w:rFonts w:ascii="Open Sans;sans-serif" w:hAnsi="Open Sans;sans-serif"/>
          <w:b w:val="false"/>
          <w:color w:val="000000"/>
          <w:sz w:val="18"/>
        </w:rPr>
        <w:t>of $68.5 million</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diluted EPS increased 14% year-over-year to $0.48</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EBITDA grew 37% to $116.7 million</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Net loss margin of 11%</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EBITDA margin of 23.7%, a 110 basis point expansion compared to 22.6% in the prior-year period</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Net cash provided by operating activities of $45.6 million</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free cash flow increased 437% year-over-year to $46.4 million</w:t>
      </w:r>
    </w:p>
    <w:p>
      <w:pPr>
        <w:pStyle w:val="TextBody"/>
        <w:bidi w:val="0"/>
        <w:spacing w:before="180" w:after="283"/>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5340"/>
                <wp:effectExtent l="0" t="0" r="0" b="0"/>
                <wp:wrapNone/>
                <wp:docPr id="5" name="Frame4"/>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180" w:after="283"/>
        <w:jc w:val="both"/>
        <w:rPr>
          <w:color w:val="000000"/>
        </w:rPr>
      </w:pPr>
      <w:r>
        <w:rPr>
          <w:color w:val="000000"/>
        </w:rPr>
        <w:t>“</w:t>
      </w:r>
      <w:r>
        <w:rPr>
          <w:rFonts w:ascii="Open Sans;sans-serif" w:hAnsi="Open Sans;sans-serif"/>
          <w:b w:val="false"/>
          <w:color w:val="000000"/>
          <w:sz w:val="18"/>
        </w:rPr>
        <w:t>We are thrilled with our momentum as reflected in our strong second quarter results. Total revenue grew 30% to $492.9 million, adjusted EBITDA grew 37% to $116.7 million, and adjusted free cash flow increased 437% to $46.4 million,” said Trevor Baldwin, Chief Executive Officer of The Baldwin Group. “As we previously highlighted, we have largely lapped the idiosyncratic, one-time headwinds that we believe will transition into tailwinds for our business in the back half of 2026. When combined with the strong contribution from our recent partnerships, we continue to win market share at an outsized rate, evidenced by sales velocity of 30% in our combined IAS business and normalized organic growth of 8%. This is a testament to the depth of expertise, value delivered to clients, and commitment from our dedicated colleagues.”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Baldwin added, “We remain excited for the opportunities we have ahead of us and what we can achieve in the coming year for shareholders, clients and colleagues.”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LIQUIDITY AND CAPITAL RESOURCES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As of June 30, 2026, cash and cash equivalents were $184.5 million and the Company had $259.4 million of borrowing capacity under its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SIX MONTHS 2026 RESULTS</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 xml:space="preserve">Revenue increased 29% year-over-year to $1.0 billion </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Organic revenue growth of 2% year-over-year</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CAC Group total revenue growth of 25% year-over-year</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 xml:space="preserve">GAAP net loss of $57.9 million and GAAP diluted loss per share of $0.39 </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net income of $157.8 million</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diluted EPS grew 5% year-over-year to $1.11</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EBITDA grew 27% year-over-year to $254.0 million</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Net loss margin of 6%</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EBITDA margin was 24.8% compared to 25.2% in the prior-year period</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Net cash provided by operating activities of $39.5 million</w:t>
      </w:r>
    </w:p>
    <w:p>
      <w:pPr>
        <w:pStyle w:val="TextBody"/>
        <w:bidi w:val="0"/>
        <w:spacing w:lineRule="auto" w:line="417" w:before="180" w:after="283"/>
        <w:ind w:left="0" w:right="0" w:hanging="360"/>
        <w:jc w:val="both"/>
        <w:rPr/>
      </w:pPr>
      <w:r>
        <w:rPr>
          <w:color w:val="000000"/>
        </w:rPr>
        <w:t>•</w:t>
      </w:r>
      <w:r>
        <w:rPr>
          <w:rFonts w:ascii="Open Sans;sans-serif" w:hAnsi="Open Sans;sans-serif"/>
          <w:b w:val="false"/>
          <w:color w:val="000000"/>
          <w:sz w:val="18"/>
        </w:rPr>
        <w:t>Adjusted free cash flow increased 34% year-over-year to $46.2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WEBCAST AND CONFERENCE CALL INFORMATION</w:t>
      </w:r>
    </w:p>
    <w:p>
      <w:pPr>
        <w:pStyle w:val="TextBody"/>
        <w:bidi w:val="0"/>
        <w:spacing w:lineRule="auto" w:line="417" w:before="180" w:after="283"/>
        <w:jc w:val="both"/>
        <w:rPr/>
      </w:pPr>
      <w:r>
        <w:rPr>
          <w:rFonts w:ascii="Open Sans;sans-serif" w:hAnsi="Open Sans;sans-serif"/>
          <w:b w:val="false"/>
          <w:color w:val="000000"/>
          <w:sz w:val="18"/>
        </w:rPr>
        <w:t xml:space="preserve">Baldwin will host a live audio webcast today at 5:00 PM Eastern Time to discuss the Company’s second quarter 2026 performance, including management’s perspectives on the business. The live audio webcast will be accessible via Baldwin’s investor relations website at </w:t>
      </w:r>
      <w:r>
        <w:rPr>
          <w:rFonts w:ascii="Open Sans;sans-serif" w:hAnsi="Open Sans;sans-serif"/>
          <w:b w:val="false"/>
          <w:color w:val="0000FF"/>
          <w:sz w:val="18"/>
          <w:u w:val="single"/>
        </w:rPr>
        <w:t>ir.baldwin.com</w:t>
      </w:r>
      <w:r>
        <w:rPr>
          <w:color w:val="000000"/>
        </w:rPr>
        <w:t xml:space="preserve"> </w:t>
      </w:r>
      <w:r>
        <w:rPr>
          <w:rFonts w:ascii="Open Sans;sans-serif" w:hAnsi="Open Sans;sans-serif"/>
          <w:b w:val="false"/>
          <w:color w:val="000000"/>
          <w:sz w:val="18"/>
        </w:rPr>
        <w:t xml:space="preserve">and a replay of the webcast will be available at </w:t>
      </w:r>
      <w:r>
        <w:rPr>
          <w:rFonts w:ascii="Open Sans;sans-serif" w:hAnsi="Open Sans;sans-serif"/>
          <w:b w:val="false"/>
          <w:color w:val="0000FF"/>
          <w:sz w:val="18"/>
          <w:u w:val="single"/>
        </w:rPr>
        <w:t>ir.baldwin.com</w:t>
      </w:r>
      <w:r>
        <w:rPr>
          <w:color w:val="000000"/>
        </w:rPr>
        <w:t xml:space="preserve"> </w:t>
      </w:r>
      <w:r>
        <w:rPr>
          <w:rFonts w:ascii="Open Sans;sans-serif" w:hAnsi="Open Sans;sans-serif"/>
          <w:b w:val="false"/>
          <w:color w:val="000000"/>
          <w:sz w:val="18"/>
        </w:rPr>
        <w:t>for approximately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5340"/>
                <wp:effectExtent l="0" t="0" r="0" b="0"/>
                <wp:wrapNone/>
                <wp:docPr id="6" name="Frame5"/>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2</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2</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ABOUT THE BALDWIN GROUP</w:t>
      </w:r>
    </w:p>
    <w:p>
      <w:pPr>
        <w:pStyle w:val="TextBody"/>
        <w:bidi w:val="0"/>
        <w:spacing w:lineRule="auto" w:line="417" w:before="180" w:after="283"/>
        <w:jc w:val="both"/>
        <w:rPr/>
      </w:pPr>
      <w:r>
        <w:rPr>
          <w:rFonts w:ascii="Open Sans;sans-serif" w:hAnsi="Open Sans;sans-serif"/>
          <w:b w:val="false"/>
          <w:color w:val="000000"/>
          <w:sz w:val="18"/>
        </w:rPr>
        <w:t xml:space="preserve">The Baldwin Group, the brand name for The Baldwin Insurance Group, Inc. ("Baldwin") (NASDAQ: BWIN) and its affiliates, is an independent insurance distribution firm providing indispensable expertise and insights that strive to give our clients the confidence to pursue their purpose, passion and dreams. As a team of dedicated entrepreneurs and insurance professionals, we have come together to help protect the possible for our clients. We do this by delivering bespoke client solutions, services, and innovation through our comprehensive and tailored approach to risk management, insurance, and employee benefits. We support our clients, colleagues, insurance company partners, and communities through the deployment of vanguard resources and capital to drive our organic and inorganic growth. The Baldwin Group proudly represents more than three million clients across the United States and internationally. For more information, please visit </w:t>
      </w:r>
      <w:r>
        <w:rPr>
          <w:rFonts w:ascii="Open Sans;sans-serif" w:hAnsi="Open Sans;sans-serif"/>
          <w:b w:val="false"/>
          <w:color w:val="0000FF"/>
          <w:sz w:val="18"/>
          <w:u w:val="single"/>
        </w:rPr>
        <w:t>www.baldwin.com</w:t>
      </w:r>
      <w:r>
        <w:rPr>
          <w:rFonts w:ascii="Open Sans;sans-serif" w:hAnsi="Open Sans;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FOOTNOTES</w:t>
      </w:r>
    </w:p>
    <w:p>
      <w:pPr>
        <w:pStyle w:val="TextBody"/>
        <w:bidi w:val="0"/>
        <w:spacing w:lineRule="auto" w:line="417" w:before="180" w:after="283"/>
        <w:ind w:left="0" w:right="0" w:hanging="360"/>
        <w:jc w:val="both"/>
        <w:rPr>
          <w:rFonts w:ascii="Open Sans;sans-serif" w:hAnsi="Open Sans;sans-serif"/>
          <w:b w:val="false"/>
          <w:i/>
          <w:color w:val="000000"/>
          <w:sz w:val="18"/>
        </w:rPr>
      </w:pPr>
      <w:r>
        <w:rPr>
          <w:rFonts w:ascii="Open Sans;sans-serif" w:hAnsi="Open Sans;sans-serif"/>
          <w:b w:val="false"/>
          <w:i/>
          <w:color w:val="000000"/>
          <w:sz w:val="18"/>
        </w:rPr>
        <w:t>(1)    Adjusted EBITDA and adjusted EBITDA margin are non-GAAP measures. Reconciliation of adjusted EBITDA and adjusted EBITDA margin to net income (loss), the most directly comparable GAAP financial measure, is set forth in the reconciliation table accompanying this release.</w:t>
      </w:r>
    </w:p>
    <w:p>
      <w:pPr>
        <w:pStyle w:val="TextBody"/>
        <w:bidi w:val="0"/>
        <w:spacing w:lineRule="auto" w:line="417" w:before="180" w:after="283"/>
        <w:ind w:left="0" w:right="0" w:hanging="360"/>
        <w:jc w:val="both"/>
        <w:rPr>
          <w:rFonts w:ascii="Open Sans;sans-serif" w:hAnsi="Open Sans;sans-serif"/>
          <w:b w:val="false"/>
          <w:i/>
          <w:color w:val="000000"/>
          <w:sz w:val="18"/>
        </w:rPr>
      </w:pPr>
      <w:r>
        <w:rPr>
          <w:rFonts w:ascii="Open Sans;sans-serif" w:hAnsi="Open Sans;sans-serif"/>
          <w:b w:val="false"/>
          <w:i/>
          <w:color w:val="000000"/>
          <w:sz w:val="18"/>
        </w:rPr>
        <w:t>(2)    Adjusted net income and adjusted diluted EPS are non-GAAP measures. Reconciliation of adjusted net income to net income attributable to Baldwin and reconciliation of adjusted diluted EPS to diluted earnings (loss) per share, the most directly comparable GAAP financial measures, is set forth in the reconciliation table accompanying this release.</w:t>
      </w:r>
    </w:p>
    <w:p>
      <w:pPr>
        <w:pStyle w:val="TextBody"/>
        <w:bidi w:val="0"/>
        <w:spacing w:lineRule="auto" w:line="417" w:before="180" w:after="283"/>
        <w:ind w:left="0" w:right="0" w:hanging="360"/>
        <w:jc w:val="both"/>
        <w:rPr/>
      </w:pPr>
      <w:r>
        <w:rPr>
          <w:rFonts w:ascii="Open Sans;sans-serif" w:hAnsi="Open Sans;sans-serif"/>
          <w:b w:val="false"/>
          <w:i/>
          <w:color w:val="000000"/>
          <w:sz w:val="18"/>
        </w:rPr>
        <w:t>(3)</w:t>
      </w:r>
      <w:r>
        <w:rPr>
          <w:color w:val="000000"/>
        </w:rPr>
        <w:t>    </w:t>
      </w:r>
      <w:r>
        <w:rPr>
          <w:rFonts w:ascii="Open Sans;sans-serif" w:hAnsi="Open Sans;sans-serif"/>
          <w:b w:val="false"/>
          <w:i/>
          <w:color w:val="000000"/>
          <w:sz w:val="18"/>
        </w:rPr>
        <w:t>Adjusted free cash flow is a non-GAAP measure. Reconciliation of adjusted free cash flow to net cash provided by (used in) operating activities, the most directly comparable GAAP financial measure, is set forth in the reconciliation table accompanying this release.</w:t>
      </w:r>
    </w:p>
    <w:p>
      <w:pPr>
        <w:pStyle w:val="TextBody"/>
        <w:bidi w:val="0"/>
        <w:spacing w:lineRule="auto" w:line="417" w:before="180" w:after="283"/>
        <w:ind w:left="0" w:right="0" w:hanging="360"/>
        <w:jc w:val="both"/>
        <w:rPr>
          <w:rFonts w:ascii="Open Sans;sans-serif" w:hAnsi="Open Sans;sans-serif"/>
          <w:b w:val="false"/>
          <w:i/>
          <w:color w:val="000000"/>
          <w:sz w:val="18"/>
        </w:rPr>
      </w:pPr>
      <w:r>
        <w:rPr>
          <w:rFonts w:ascii="Open Sans;sans-serif" w:hAnsi="Open Sans;sans-serif"/>
          <w:b w:val="false"/>
          <w:i/>
          <w:color w:val="000000"/>
          <w:sz w:val="18"/>
        </w:rPr>
        <w:t>(4)    Organic revenue for the three and six months ended June 30, 2025 used to calculate organic revenue growth for the three and six months ended June 30, 2026 was $376.3 million and $786.8 million, respectively, which is adjusted to exclude commissions and fees from divestitures that occurred during 2025. Organic revenue is also adjusted to exclude the first 12 months of commissions and fees generated from new partners during the three and six months ended June 30, 2026. Organic revenue and organic revenue growth are non-GAAP measures. Reconciliation of organic revenue and organic revenue growth to commissions and fees, the most directly comparable GAAP financial measure, is set forth in the reconciliation table accompanying this release.</w:t>
      </w:r>
    </w:p>
    <w:p>
      <w:pPr>
        <w:pStyle w:val="TextBody"/>
        <w:bidi w:val="0"/>
        <w:spacing w:lineRule="auto" w:line="417" w:before="180" w:after="283"/>
        <w:ind w:left="0" w:right="0" w:hanging="360"/>
        <w:jc w:val="both"/>
        <w:rPr>
          <w:rFonts w:ascii="Open Sans;sans-serif" w:hAnsi="Open Sans;sans-serif"/>
          <w:b w:val="false"/>
          <w:i/>
          <w:color w:val="000000"/>
          <w:sz w:val="18"/>
        </w:rPr>
      </w:pPr>
      <w:r>
        <w:rPr>
          <w:rFonts w:ascii="Open Sans;sans-serif" w:hAnsi="Open Sans;sans-serif"/>
          <w:b w:val="false"/>
          <w:i/>
          <w:color w:val="000000"/>
          <w:sz w:val="18"/>
        </w:rPr>
        <w:t>(5)    CAC Group total revenue growth is calculated as standalone CAC Group GAAP revenue for the three and six months ended June 30, 2026 compared to CAC Group GAAP revenue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NOTE REGARDING FORWARD-LOOKING STATEMENTS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This press release may contain various “forward-looking statements” within the meaning of the Private Securities Litigation Reform Act of 1995, which represent Baldwin’s expectations or beliefs concerning future events. Forward-looking statements are statements other than historical facts and may include statements that address Baldwin's future operating, financial or business performance or Baldwin’s strategies or expectations. In some cases, you can identify these statements by forward-looking words such as “may,” “might,” “will,” “should,” “expects,” “plans,” “anticipates,” “believes,” “estimates,” “predicts,” “projects,” “potential,” “outlook” or “continue,” or the negative of these terms or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w:t>
      </w:r>
    </w:p>
    <w:p>
      <w:pPr>
        <w:pStyle w:val="TextBody"/>
        <w:bidi w:val="0"/>
        <w:spacing w:before="180" w:after="283"/>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15340"/>
                <wp:effectExtent l="0" t="0" r="0" b="0"/>
                <wp:wrapNone/>
                <wp:docPr id="7" name="Frame6"/>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3</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3</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180" w:after="283"/>
        <w:jc w:val="both"/>
        <w:rPr/>
      </w:pPr>
      <w:r>
        <w:rPr>
          <w:rFonts w:ascii="Open Sans;sans-serif" w:hAnsi="Open Sans;sans-serif"/>
          <w:b w:val="false"/>
          <w:color w:val="000000"/>
          <w:sz w:val="18"/>
        </w:rPr>
        <w:t xml:space="preserve">Factors that could cause actual results or performance to differ from the expectations expressed or implied in such forward-looking statements include, but are not limited to, those described under the caption “Risk Factors” in Baldwin’s Annual Report on Form 10-K for the year ended December 31, 2025 and in Baldwin’s other filings with the SEC, which are available free of charge on the SEC's website at: </w:t>
      </w:r>
      <w:r>
        <w:rPr>
          <w:rFonts w:ascii="Open Sans;sans-serif" w:hAnsi="Open Sans;sans-serif"/>
          <w:b w:val="false"/>
          <w:color w:val="0000FF"/>
          <w:sz w:val="18"/>
          <w:u w:val="single"/>
        </w:rPr>
        <w:t>www.sec.gov</w:t>
      </w:r>
      <w:r>
        <w:rPr>
          <w:rFonts w:ascii="Open Sans;sans-serif" w:hAnsi="Open Sans;sans-serif"/>
          <w:b w:val="false"/>
          <w:color w:val="000000"/>
          <w:sz w:val="18"/>
        </w:rPr>
        <w:t>, including those risks and other factors relevant to Baldwin's business, financial condition and results of operations. Should one or more of these risks or uncertainties materialize, or should underlying assumptions prove incorrect, actual results may vary materially from those indicated. All forward-looking statements and all subsequent written and oral forward-looking statements attributable to Baldwin or to persons acting on Baldwin's behalf are expressly qualified in their entirety by reference to these risks and uncertainties. You should not place undue reliance on forward-looking statements. Forward-looking statements speak only as of the date they are made, and Baldwin does not undertake any obligation to update them in light of new information, future developments or otherwise, except as may be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CONTACTS</w:t>
      </w:r>
    </w:p>
    <w:p>
      <w:pPr>
        <w:pStyle w:val="TextBody"/>
        <w:bidi w:val="0"/>
        <w:spacing w:lineRule="auto" w:line="417" w:before="180" w:after="283"/>
        <w:jc w:val="left"/>
        <w:rPr>
          <w:rFonts w:ascii="Open Sans;sans-serif" w:hAnsi="Open Sans;sans-serif"/>
          <w:b/>
          <w:color w:val="000000"/>
          <w:sz w:val="18"/>
        </w:rPr>
      </w:pPr>
      <w:r>
        <w:rPr>
          <w:rFonts w:ascii="Open Sans;sans-serif" w:hAnsi="Open Sans;sans-serif"/>
          <w:b/>
          <w:color w:val="000000"/>
          <w:sz w:val="18"/>
        </w:rPr>
        <w:t>MEDIA RELATIONS</w:t>
      </w:r>
    </w:p>
    <w:p>
      <w:pPr>
        <w:pStyle w:val="TextBody"/>
        <w:bidi w:val="0"/>
        <w:spacing w:lineRule="auto" w:line="336" w:before="180" w:after="283"/>
        <w:jc w:val="both"/>
        <w:rPr>
          <w:rFonts w:ascii="Open Sans;sans-serif" w:hAnsi="Open Sans;sans-serif"/>
          <w:b w:val="false"/>
          <w:color w:val="000000"/>
          <w:sz w:val="18"/>
        </w:rPr>
      </w:pPr>
      <w:r>
        <w:rPr>
          <w:rFonts w:ascii="Open Sans;sans-serif" w:hAnsi="Open Sans;sans-serif"/>
          <w:b w:val="false"/>
          <w:color w:val="000000"/>
          <w:sz w:val="18"/>
        </w:rPr>
        <w:t>Anna Rozenich, Senior Director, Enterprise Communications</w:t>
      </w:r>
    </w:p>
    <w:p>
      <w:pPr>
        <w:pStyle w:val="TextBody"/>
        <w:bidi w:val="0"/>
        <w:spacing w:lineRule="auto" w:line="336" w:before="0" w:after="0"/>
        <w:jc w:val="both"/>
        <w:rPr>
          <w:rFonts w:ascii="Open Sans;sans-serif" w:hAnsi="Open Sans;sans-serif"/>
          <w:b w:val="false"/>
          <w:color w:val="000000"/>
          <w:sz w:val="18"/>
        </w:rPr>
      </w:pPr>
      <w:r>
        <w:rPr>
          <w:rFonts w:ascii="Open Sans;sans-serif" w:hAnsi="Open Sans;sans-serif"/>
          <w:b w:val="false"/>
          <w:color w:val="000000"/>
          <w:sz w:val="18"/>
        </w:rPr>
        <w:t>The Baldwin Group</w:t>
      </w:r>
    </w:p>
    <w:p>
      <w:pPr>
        <w:pStyle w:val="TextBody"/>
        <w:bidi w:val="0"/>
        <w:spacing w:lineRule="auto" w:line="336" w:before="0" w:after="0"/>
        <w:jc w:val="both"/>
        <w:rPr/>
      </w:pPr>
      <w:r>
        <w:rPr>
          <w:rFonts w:ascii="Open Sans;sans-serif" w:hAnsi="Open Sans;sans-serif"/>
          <w:b w:val="false"/>
          <w:color w:val="000000"/>
          <w:sz w:val="18"/>
        </w:rPr>
        <w:t>630.561.5907 |</w:t>
      </w:r>
      <w:r>
        <w:rPr>
          <w:color w:val="0000FF"/>
        </w:rPr>
        <w:t xml:space="preserve"> </w:t>
      </w:r>
      <w:r>
        <w:rPr>
          <w:rFonts w:ascii="Open Sans;sans-serif" w:hAnsi="Open Sans;sans-serif"/>
          <w:b w:val="false"/>
          <w:color w:val="0000FF"/>
          <w:sz w:val="18"/>
          <w:u w:val="single"/>
        </w:rPr>
        <w:t>anna.rozenich@baldwin.com</w:t>
      </w:r>
    </w:p>
    <w:p>
      <w:pPr>
        <w:pStyle w:val="TextBody"/>
        <w:bidi w:val="0"/>
        <w:spacing w:lineRule="auto" w:line="417" w:before="180" w:after="283"/>
        <w:jc w:val="left"/>
        <w:rPr>
          <w:rFonts w:ascii="Open Sans;sans-serif" w:hAnsi="Open Sans;sans-serif"/>
          <w:b/>
          <w:color w:val="000000"/>
          <w:sz w:val="18"/>
        </w:rPr>
      </w:pPr>
      <w:r>
        <w:rPr>
          <w:rFonts w:ascii="Open Sans;sans-serif" w:hAnsi="Open Sans;sans-serif"/>
          <w:b/>
          <w:color w:val="000000"/>
          <w:sz w:val="18"/>
        </w:rPr>
        <w:t>INVESTOR RELATIONS</w:t>
      </w:r>
    </w:p>
    <w:p>
      <w:pPr>
        <w:pStyle w:val="TextBody"/>
        <w:bidi w:val="0"/>
        <w:spacing w:lineRule="auto" w:line="336" w:before="180" w:after="283"/>
        <w:jc w:val="both"/>
        <w:rPr>
          <w:rFonts w:ascii="Open Sans;sans-serif" w:hAnsi="Open Sans;sans-serif"/>
          <w:b w:val="false"/>
          <w:color w:val="000000"/>
          <w:sz w:val="18"/>
        </w:rPr>
      </w:pPr>
      <w:r>
        <w:rPr>
          <w:rFonts w:ascii="Open Sans;sans-serif" w:hAnsi="Open Sans;sans-serif"/>
          <w:b w:val="false"/>
          <w:color w:val="000000"/>
          <w:sz w:val="18"/>
        </w:rPr>
        <w:t>Bonnie Bishop, Executive Director, Investor Relations</w:t>
      </w:r>
    </w:p>
    <w:p>
      <w:pPr>
        <w:pStyle w:val="TextBody"/>
        <w:bidi w:val="0"/>
        <w:spacing w:lineRule="auto" w:line="336" w:before="0" w:after="0"/>
        <w:jc w:val="both"/>
        <w:rPr>
          <w:rFonts w:ascii="Open Sans;sans-serif" w:hAnsi="Open Sans;sans-serif"/>
          <w:b w:val="false"/>
          <w:color w:val="000000"/>
          <w:sz w:val="18"/>
        </w:rPr>
      </w:pPr>
      <w:r>
        <w:rPr>
          <w:rFonts w:ascii="Open Sans;sans-serif" w:hAnsi="Open Sans;sans-serif"/>
          <w:b w:val="false"/>
          <w:color w:val="000000"/>
          <w:sz w:val="18"/>
        </w:rPr>
        <w:t>The Baldwin Group</w:t>
      </w:r>
    </w:p>
    <w:p>
      <w:pPr>
        <w:pStyle w:val="TextBody"/>
        <w:bidi w:val="0"/>
        <w:spacing w:lineRule="auto" w:line="336" w:before="0" w:after="0"/>
        <w:jc w:val="both"/>
        <w:rPr/>
      </w:pPr>
      <w:r>
        <w:rPr>
          <w:rFonts w:ascii="Open Sans;sans-serif" w:hAnsi="Open Sans;sans-serif"/>
          <w:b w:val="false"/>
          <w:color w:val="000000"/>
          <w:sz w:val="18"/>
        </w:rPr>
        <w:t xml:space="preserve">813.259.8032 | </w:t>
      </w:r>
      <w:r>
        <w:rPr>
          <w:rFonts w:ascii="Open Sans;sans-serif" w:hAnsi="Open Sans;sans-serif"/>
          <w:b w:val="false"/>
          <w:color w:val="0000FF"/>
          <w:sz w:val="18"/>
          <w:u w:val="single"/>
        </w:rPr>
        <w:t>IR@baldwin.com</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15340"/>
                <wp:effectExtent l="0" t="0" r="0" b="0"/>
                <wp:wrapNone/>
                <wp:docPr id="8" name="Frame7"/>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4</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4</w:t>
                      </w:r>
                    </w:p>
                    <w:p>
                      <w:pPr>
                        <w:pStyle w:val="TextBody"/>
                        <w:bidi w:val="0"/>
                        <w:spacing w:before="180" w:after="283"/>
                        <w:jc w:val="center"/>
                        <w:rPr/>
                      </w:pPr>
                      <w:r>
                        <w:rPr/>
                      </w:r>
                    </w:p>
                  </w:txbxContent>
                </v:textbox>
                <w10:wrap type="none"/>
              </v:rect>
            </w:pict>
          </mc:Fallback>
        </mc:AlternateContent>
      </w:r>
    </w:p>
    <w:p>
      <w:pPr>
        <w:pStyle w:val="TextBody"/>
        <w:bidi w:val="0"/>
        <w:spacing w:lineRule="auto" w:line="288" w:before="180" w:after="283"/>
        <w:jc w:val="center"/>
        <w:rPr>
          <w:rFonts w:ascii="Open Sans;sans-serif" w:hAnsi="Open Sans;sans-serif"/>
          <w:b/>
          <w:color w:val="000000"/>
          <w:sz w:val="18"/>
        </w:rPr>
      </w:pPr>
      <w:r>
        <w:rPr>
          <w:rFonts w:ascii="Open Sans;sans-serif" w:hAnsi="Open Sans;sans-serif"/>
          <w:b/>
          <w:color w:val="000000"/>
          <w:sz w:val="18"/>
        </w:rPr>
        <w:t>THE BALDWIN INSURANCE GROUP, INC.</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Condensed Consolidated Statements of Comprehensive Income (Loss)</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717"/>
        <w:gridCol w:w="1197"/>
        <w:gridCol w:w="1203"/>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171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Six Months</w:t>
              <w:br/>
              <w:t> Ended June 30,</w:t>
            </w:r>
          </w:p>
        </w:tc>
      </w:tr>
      <w:tr>
        <w:trPr/>
        <w:tc>
          <w:tcPr>
            <w:tcW w:w="4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Open Sans;sans-serif" w:hAnsi="Open Sans;sans-serif"/>
                <w:b/>
                <w:color w:val="000000"/>
                <w:sz w:val="15"/>
              </w:rPr>
            </w:pPr>
            <w:r>
              <w:rPr>
                <w:rFonts w:ascii="Open Sans;sans-serif" w:hAnsi="Open Sans;sans-serif"/>
                <w:b/>
                <w:color w:val="000000"/>
                <w:sz w:val="15"/>
              </w:rPr>
              <w:t>2025</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Commissions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1,017,650 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786,780 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492,939 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378,811 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1,025,174 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792,216 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Colleague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393,491 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Outside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139,409 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114,138 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51,892 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1,134,783 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708,259 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(109,609)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83,957 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(61,296)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Gain (loss) on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Loss on extinguishment and modification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(63,515)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Income (loss) before income taxes and share of net earnings of equity method investee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20,442 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 of net earnings of equity method investee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(202,314)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20,442 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Less: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Net income (loss) attributable to Baldwin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10,775 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Weighted-average shares of Class A common stock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67,045 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Weighted-average shares of Class A common stock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Less: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Comprehensive income (loss) attributable to Baldwin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10,775 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15340"/>
                <wp:effectExtent l="0" t="0" r="0" b="0"/>
                <wp:wrapNone/>
                <wp:docPr id="9" name="Frame8"/>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5</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5</w:t>
                      </w:r>
                    </w:p>
                    <w:p>
                      <w:pPr>
                        <w:pStyle w:val="TextBody"/>
                        <w:bidi w:val="0"/>
                        <w:spacing w:before="180" w:after="283"/>
                        <w:jc w:val="center"/>
                        <w:rPr/>
                      </w:pPr>
                      <w:r>
                        <w:rPr/>
                      </w:r>
                    </w:p>
                  </w:txbxContent>
                </v:textbox>
                <w10:wrap type="none"/>
              </v:rect>
            </w:pict>
          </mc:Fallback>
        </mc:AlternateContent>
      </w:r>
    </w:p>
    <w:p>
      <w:pPr>
        <w:pStyle w:val="TextBody"/>
        <w:bidi w:val="0"/>
        <w:spacing w:lineRule="auto" w:line="288" w:before="180" w:after="283"/>
        <w:jc w:val="center"/>
        <w:rPr>
          <w:rFonts w:ascii="Open Sans;sans-serif" w:hAnsi="Open Sans;sans-serif"/>
          <w:b/>
          <w:color w:val="000000"/>
          <w:sz w:val="18"/>
        </w:rPr>
      </w:pPr>
      <w:r>
        <w:rPr>
          <w:rFonts w:ascii="Open Sans;sans-serif" w:hAnsi="Open Sans;sans-serif"/>
          <w:b/>
          <w:color w:val="000000"/>
          <w:sz w:val="18"/>
        </w:rPr>
        <w:t>THE BALDWIN INSURANCE GROUP, INC.</w:t>
      </w:r>
    </w:p>
    <w:p>
      <w:pPr>
        <w:pStyle w:val="TextBody"/>
        <w:bidi w:val="0"/>
        <w:spacing w:lineRule="auto" w:line="288" w:before="60" w:after="283"/>
        <w:jc w:val="center"/>
        <w:rPr>
          <w:rFonts w:ascii="Open Sans;sans-serif" w:hAnsi="Open Sans;sans-serif"/>
          <w:b/>
          <w:color w:val="000000"/>
          <w:sz w:val="18"/>
        </w:rPr>
      </w:pPr>
      <w:r>
        <w:rPr>
          <w:rFonts w:ascii="Open Sans;sans-serif" w:hAnsi="Open Sans;sans-serif"/>
          <w:b/>
          <w:color w:val="000000"/>
          <w:sz w:val="18"/>
        </w:rPr>
        <w:t xml:space="preserve">Condensed Consolidated Balance Sheets </w:t>
      </w:r>
    </w:p>
    <w:p>
      <w:pPr>
        <w:pStyle w:val="TextBody"/>
        <w:bidi w:val="0"/>
        <w:spacing w:lineRule="auto" w:line="288" w:before="60" w:after="283"/>
        <w:jc w:val="center"/>
        <w:rPr>
          <w:rFonts w:ascii="Open Sans;sans-serif" w:hAnsi="Open Sans;sans-serif"/>
          <w:b/>
          <w:color w:val="000000"/>
          <w:sz w:val="18"/>
        </w:rPr>
      </w:pPr>
      <w:r>
        <w:rPr>
          <w:rFonts w:ascii="Open Sans;sans-serif" w:hAnsi="Open Sans;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564"/>
        <w:gridCol w:w="1963"/>
        <w:gridCol w:w="1974"/>
        <w:gridCol w:w="109"/>
        <w:gridCol w:w="109"/>
        <w:gridCol w:w="109"/>
        <w:gridCol w:w="226"/>
        <w:gridCol w:w="1126"/>
        <w:gridCol w:w="109"/>
        <w:gridCol w:w="109"/>
        <w:gridCol w:w="109"/>
        <w:gridCol w:w="109"/>
        <w:gridCol w:w="238"/>
        <w:gridCol w:w="1187"/>
        <w:gridCol w:w="164"/>
      </w:tblGrid>
      <w:tr>
        <w:trPr/>
        <w:tc>
          <w:tcPr>
            <w:tcW w:w="2564"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December 31, 2025</w:t>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123,669 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Fiduciary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223,228 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 xml:space="preserve">Assumed premiums, commissions and fees receivable,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433,617 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342,136 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Fiduciary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497,035 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13,650 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1,846,091 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1,199,718 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22,502 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61,976 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82,419 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1,450,040 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978,434 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2,652,407 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1,517,171 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6,174,724 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3,862,220 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8"/>
              </w:rPr>
              <w:t>Liabilities, Mezzanine Equity and Stockholders</w:t>
            </w:r>
            <w:r>
              <w:rPr>
                <w:color w:val="000000"/>
              </w:rPr>
              <w:t xml:space="preserve">’ </w:t>
            </w:r>
            <w:r>
              <w:rPr>
                <w:rFonts w:ascii="Open Sans;sans-serif" w:hAnsi="Open Sans;sans-serif"/>
                <w:b/>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Fiduciary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720,263 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Commissions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50,933 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252,560 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Current portion of contingent earnout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9,004 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1,720,565 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1,032,760 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2,150,725 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1,566,122 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Contingent earnout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57,651 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Tax Receivable Agreement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4,752,937 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2,777,822 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Mezzanine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Class A common stock, par value $0.01 per share, 300,000,000 shares authorized; 96,368,518 and 71,779,608 shares issued and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Class B common stock, par value $0.0001 per share, 100,000,000 shares authorized; 43,059,762 and 46,703,818 shares issued and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1,246,901 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844,236 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(368,468)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(245,236)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stockholders’ equity attributable to Baldwin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884,428 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600,215 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536,745 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483,664 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1,083,879 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Total liabilities, mezzanine equity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6,174,724 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3,862,220 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15340"/>
                <wp:effectExtent l="0" t="0" r="0" b="0"/>
                <wp:wrapNone/>
                <wp:docPr id="10" name="Frame9"/>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6</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6</w:t>
                      </w:r>
                    </w:p>
                    <w:p>
                      <w:pPr>
                        <w:pStyle w:val="TextBody"/>
                        <w:bidi w:val="0"/>
                        <w:spacing w:before="180" w:after="283"/>
                        <w:jc w:val="center"/>
                        <w:rPr/>
                      </w:pPr>
                      <w:r>
                        <w:rPr/>
                      </w:r>
                    </w:p>
                  </w:txbxContent>
                </v:textbox>
                <w10:wrap type="none"/>
              </v:rect>
            </w:pict>
          </mc:Fallback>
        </mc:AlternateContent>
      </w:r>
    </w:p>
    <w:p>
      <w:pPr>
        <w:pStyle w:val="TextBody"/>
        <w:bidi w:val="0"/>
        <w:spacing w:lineRule="auto" w:line="288" w:before="180" w:after="283"/>
        <w:jc w:val="center"/>
        <w:rPr>
          <w:rFonts w:ascii="Open Sans;sans-serif" w:hAnsi="Open Sans;sans-serif"/>
          <w:b/>
          <w:color w:val="000000"/>
          <w:sz w:val="18"/>
        </w:rPr>
      </w:pPr>
      <w:r>
        <w:rPr>
          <w:rFonts w:ascii="Open Sans;sans-serif" w:hAnsi="Open Sans;sans-serif"/>
          <w:b/>
          <w:color w:val="000000"/>
          <w:sz w:val="18"/>
        </w:rPr>
        <w:t>THE BALDWIN INSURANCE GROUP, INC.</w:t>
      </w:r>
    </w:p>
    <w:p>
      <w:pPr>
        <w:pStyle w:val="TextBody"/>
        <w:bidi w:val="0"/>
        <w:spacing w:lineRule="auto" w:line="288" w:before="60" w:after="283"/>
        <w:jc w:val="center"/>
        <w:rPr>
          <w:rFonts w:ascii="Open Sans;sans-serif" w:hAnsi="Open Sans;sans-serif"/>
          <w:b/>
          <w:color w:val="000000"/>
          <w:sz w:val="18"/>
        </w:rPr>
      </w:pPr>
      <w:r>
        <w:rPr>
          <w:rFonts w:ascii="Open Sans;sans-serif" w:hAnsi="Open Sans;sans-serif"/>
          <w:b/>
          <w:color w:val="000000"/>
          <w:sz w:val="18"/>
        </w:rPr>
        <w:t>Condensed Consolidated Statements of Cash Flows</w:t>
      </w:r>
    </w:p>
    <w:p>
      <w:pPr>
        <w:pStyle w:val="TextBody"/>
        <w:bidi w:val="0"/>
        <w:spacing w:lineRule="auto" w:line="288" w:before="60" w:after="283"/>
        <w:jc w:val="center"/>
        <w:rPr>
          <w:rFonts w:ascii="Open Sans;sans-serif" w:hAnsi="Open Sans;sans-serif"/>
          <w:b/>
          <w:color w:val="000000"/>
          <w:sz w:val="18"/>
        </w:rPr>
      </w:pPr>
      <w:r>
        <w:rPr>
          <w:rFonts w:ascii="Open Sans;sans-serif" w:hAnsi="Open Sans;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46"/>
        <w:gridCol w:w="2275"/>
        <w:gridCol w:w="2291"/>
        <w:gridCol w:w="109"/>
        <w:gridCol w:w="109"/>
        <w:gridCol w:w="109"/>
        <w:gridCol w:w="211"/>
        <w:gridCol w:w="826"/>
        <w:gridCol w:w="109"/>
        <w:gridCol w:w="109"/>
        <w:gridCol w:w="109"/>
        <w:gridCol w:w="109"/>
        <w:gridCol w:w="211"/>
        <w:gridCol w:w="826"/>
        <w:gridCol w:w="156"/>
      </w:tblGrid>
      <w:tr>
        <w:trPr/>
        <w:tc>
          <w:tcPr>
            <w:tcW w:w="264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Six Months</w:t>
              <w:br/>
              <w:t> Ended June 30,</w:t>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55,117 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6,104 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29,755 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Payment of contingent earnout consideration in excess of purchase price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(85,090)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Gain on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operating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Assumed premiums, commissions and fees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(53,896)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(4,916)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Colleague earnout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(31,824)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(7,253)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(80,704)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consideration paid for business combinations, net of cash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(447,503)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(11,699)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(20,310)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Deferred payments for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consideration paid for 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Investments in and loans for business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(15,633)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divestitures, net of cash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1,901 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(520,868)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(46,201)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fiduciary receivables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55,283 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Proceeds from 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121,000 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Payments on 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(9,000)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refinancing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935,800 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Payments relating to extinguishment and modification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(835,800)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7"/>
              </w:rPr>
            </w:pPr>
            <w:r>
              <w:rPr>
                <w:rFonts w:ascii="Open Sans;sans-serif" w:hAnsi="Open Sans;sans-serif"/>
                <w:b w:val="false"/>
                <w:color w:val="000000"/>
                <w:sz w:val="17"/>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(4,679)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Payment of contingent earnout consideration up to amount of purchase price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(64,256)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financing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197,838 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increase in cash and cash equivalents and fiduciary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70,933 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 and fiduciary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312,769 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 and fiduciary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610,688 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383,702 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15340"/>
                <wp:effectExtent l="0" t="0" r="0" b="0"/>
                <wp:wrapNone/>
                <wp:docPr id="11" name="Frame10"/>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7</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7</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NON-GAAP FINANCIAL MEASURES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Adjusted EBITDA, adjusted EBITDA margin, organic revenue, organic revenue growth, adjusted net income, adjusted diluted earnings per share (“EPS”), and adjusted net cash provided by operating activities (“adjusted free cash flow”) are not measures of financial performance under GAAP and should not be considered substitutes for GAAP measures, including commissions and fees (for organic revenue and organic revenue growth), net income (loss) (for adjusted EBITDA and adjusted EBITDA margin), net income (loss) attributable to Baldwin (for adjusted net income), diluted earnings (loss) per share (for adjusted diluted EPS) or net cash provided by (used in) operating activities (for adjusted free cash flow), which we consider to be the most directly comparable GAAP measures. These non-GAAP financial measures have limitations as analytical tools, and when assessing our operating performance, you should not consider these non-GAAP financial measures in isolation or as substitutes for commissions and fees, net income (loss), net income (loss) attributable to Baldwin, diluted earnings (loss) per share, net cash provided by (used in) operating activities or other consolidated income statement data prepared in accordance with GAAP. Other companies in our industry may define or calculate these non-GAAP financial measures differently than we do, and accordingly, these measures may not be comparable to similarly titled measures used by other companies.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We define adjusted EBITDA as net income (loss) before interest, taxes, depreciation, amortization, change in fair value of contingent consideration and certain items of income and expense, including share-based compensation expense, transaction-related partnership and integration expenses, transformation costs, severance, and certain non-recurring items, including those related to raising capital. We believe that adjusted EBITDA is an appropriate measure of operating performance because it eliminates the impact of income and expenses that do not relate to business performance, and that the presentation of this measure enhances an investor’s understanding of our financial performance.</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Adjusted EBITDA margin is adjusted EBITDA divided by total revenues. Adjusted EBITDA margin is a key metric used by management and our board of directors to assess our financial performance. We believe that adjusted EBITDA margin is an appropriate measure of operating performance because it eliminates the impact of income and expenses that do not relate to business performance, and that the presentation of this measure enhances an investor’s understanding of our financial performance. We believe that adjusted EBITDA margin is helpful in measuring profitability of operations on a consolidated level.</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Adjusted EBITDA and adjusted EBITDA margin have important limitations as analytical tools. For example, adjusted EBITDA and adjusted EBITDA margin:</w:t>
      </w:r>
    </w:p>
    <w:p>
      <w:pPr>
        <w:pStyle w:val="TextBody"/>
        <w:bidi w:val="0"/>
        <w:spacing w:lineRule="auto" w:line="417" w:before="120" w:after="283"/>
        <w:ind w:left="0" w:right="0" w:hanging="360"/>
        <w:jc w:val="both"/>
        <w:rPr/>
      </w:pPr>
      <w:r>
        <w:rPr>
          <w:color w:val="000000"/>
        </w:rPr>
        <w:t>•</w:t>
      </w:r>
      <w:r>
        <w:rPr>
          <w:rFonts w:ascii="Open Sans;sans-serif" w:hAnsi="Open Sans;sans-serif"/>
          <w:b w:val="false"/>
          <w:color w:val="000000"/>
          <w:sz w:val="18"/>
        </w:rPr>
        <w:t>do not reflect any cash capital expenditure requirements for the assets being depreciated and amortized that may have to be replaced in the future;</w:t>
      </w:r>
    </w:p>
    <w:p>
      <w:pPr>
        <w:pStyle w:val="TextBody"/>
        <w:bidi w:val="0"/>
        <w:spacing w:lineRule="auto" w:line="417" w:before="120" w:after="283"/>
        <w:ind w:left="0" w:right="0" w:hanging="360"/>
        <w:jc w:val="both"/>
        <w:rPr/>
      </w:pPr>
      <w:r>
        <w:rPr>
          <w:color w:val="000000"/>
        </w:rPr>
        <w:t>•</w:t>
      </w:r>
      <w:r>
        <w:rPr>
          <w:rFonts w:ascii="Open Sans;sans-serif" w:hAnsi="Open Sans;sans-serif"/>
          <w:b w:val="false"/>
          <w:color w:val="000000"/>
          <w:sz w:val="18"/>
        </w:rPr>
        <w:t>do not reflect changes in, or cash requirements for, our working capital needs;</w:t>
      </w:r>
    </w:p>
    <w:p>
      <w:pPr>
        <w:pStyle w:val="TextBody"/>
        <w:bidi w:val="0"/>
        <w:spacing w:lineRule="auto" w:line="417" w:before="120" w:after="283"/>
        <w:ind w:left="0" w:right="0" w:hanging="360"/>
        <w:jc w:val="both"/>
        <w:rPr/>
      </w:pPr>
      <w:r>
        <w:rPr>
          <w:color w:val="000000"/>
        </w:rPr>
        <w:t>•</w:t>
      </w:r>
      <w:r>
        <w:rPr>
          <w:rFonts w:ascii="Open Sans;sans-serif" w:hAnsi="Open Sans;sans-serif"/>
          <w:b w:val="false"/>
          <w:color w:val="000000"/>
          <w:sz w:val="18"/>
        </w:rPr>
        <w:t>do not reflect the impact of certain cash charges resulting from matters we consider not to be indicative of our ongoing operations;</w:t>
      </w:r>
    </w:p>
    <w:p>
      <w:pPr>
        <w:pStyle w:val="TextBody"/>
        <w:bidi w:val="0"/>
        <w:spacing w:lineRule="auto" w:line="417" w:before="120" w:after="283"/>
        <w:ind w:left="0" w:right="0" w:hanging="360"/>
        <w:jc w:val="both"/>
        <w:rPr/>
      </w:pPr>
      <w:r>
        <w:rPr>
          <w:color w:val="000000"/>
        </w:rPr>
        <w:t>•</w:t>
      </w:r>
      <w:r>
        <w:rPr>
          <w:rFonts w:ascii="Open Sans;sans-serif" w:hAnsi="Open Sans;sans-serif"/>
          <w:b w:val="false"/>
          <w:color w:val="000000"/>
          <w:sz w:val="18"/>
        </w:rPr>
        <w:t>do not reflect the interest expense or the cash requirements necessary to service interest or principal payments on our debt;</w:t>
      </w:r>
    </w:p>
    <w:p>
      <w:pPr>
        <w:pStyle w:val="TextBody"/>
        <w:bidi w:val="0"/>
        <w:spacing w:lineRule="auto" w:line="417" w:before="120" w:after="283"/>
        <w:ind w:left="0" w:right="0" w:hanging="360"/>
        <w:jc w:val="both"/>
        <w:rPr/>
      </w:pPr>
      <w:r>
        <w:rPr>
          <w:color w:val="000000"/>
        </w:rPr>
        <w:t>•</w:t>
      </w:r>
      <w:r>
        <w:rPr>
          <w:rFonts w:ascii="Open Sans;sans-serif" w:hAnsi="Open Sans;sans-serif"/>
          <w:b w:val="false"/>
          <w:color w:val="000000"/>
          <w:sz w:val="18"/>
        </w:rPr>
        <w:t>do not reflect share-based compensation expense and other non-cash charges; and</w:t>
      </w:r>
    </w:p>
    <w:p>
      <w:pPr>
        <w:pStyle w:val="TextBody"/>
        <w:bidi w:val="0"/>
        <w:spacing w:lineRule="auto" w:line="417" w:before="120" w:after="283"/>
        <w:ind w:left="0" w:right="0" w:hanging="360"/>
        <w:jc w:val="both"/>
        <w:rPr/>
      </w:pPr>
      <w:r>
        <w:rPr>
          <w:color w:val="000000"/>
        </w:rPr>
        <w:t>•</w:t>
      </w:r>
      <w:r>
        <w:rPr>
          <w:rFonts w:ascii="Open Sans;sans-serif" w:hAnsi="Open Sans;sans-serif"/>
          <w:b w:val="false"/>
          <w:color w:val="000000"/>
          <w:sz w:val="18"/>
        </w:rPr>
        <w:t>exclude certain tax payments that may represent a reduction in cash available to us.</w:t>
      </w:r>
    </w:p>
    <w:p>
      <w:pPr>
        <w:pStyle w:val="TextBody"/>
        <w:bidi w:val="0"/>
        <w:spacing w:before="180" w:after="283"/>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15340"/>
                <wp:effectExtent l="0" t="0" r="0" b="0"/>
                <wp:wrapNone/>
                <wp:docPr id="12" name="Frame11"/>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8</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8</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We calculate organic revenue based on commissions and fees for the relevant period by excluding (i) the first 12 months of commissions and fees generated from new partners and (ii) commissions and fees from divestitures. Organic revenue growth is the change in organic revenue period-to-period, with prior period results adjusted to (i) include commissions and fees that were excluded from organic revenue in the prior period because the relevant partners had not yet reached the 12-month owned mark, but which have reached the 12-month owned mark in the current period, and (ii) exclude commissions and fees related to divestitures from organic revenue. For example, commissions and fees from a partner acquired on June 1, 2025 are excluded from organic revenue for 2025. However, after June 1, 2026, results from June 1, 2025 to December 31, 2025 for such partners are compared to results from June 1, 2026 to December 31, 2026 for purposes of calculating organic revenue growth in 2026. Organic revenue growth is a key metric used by management and our board of directors to assess our financial performance. We believe that organic revenue and organic revenue growth are appropriate measures of operating performance as they allow investors to measure, analyze and compare growth in a meaningful and consistent manner.</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We define adjusted net income as net income (loss) attributable to Baldwin adjusted for depreciation, amortization, change in fair value of contingent consideration and certain items of income and expense, including share-based compensation expense, transaction-related partnership and integration expenses, transformation costs, severance, and certain non-recurring costs that, in the opinion of management, significantly affect the period-over-period assessment of operating results, and the related tax effect of those adjustments. We believe that adjusted net income is an appropriate measure of operating performance because it eliminates the impact of income and expenses that do not relate to business performance.</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Adjusted diluted EPS measures our per share earnings excluding certain expenses as discussed above for adjusted net income and assuming all shares of Class B common stock were exchanged for Class A common stock on a one-for-one basis. Adjusted diluted EPS is calculated as adjusted net income divided by adjusted diluted weighted-average shares outstanding. We believe adjusted diluted EPS is useful to investors because it enables them to better evaluate per share operating performance across reporting periods.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We calculate adjusted free cash flow because we incur substantial earnout liabilities in conjunction with our partnership strategy. Adjusted free cash flow is calculated as net cash provided by (used in) operating activities excluding the impact of: (i) the payment of contingent earnout consideration in excess of purchase price accrual, and (ii) the payment of colleague earnout incentives. We believe that adjusted free cash flow is an important measure of our ability to generate cash from our business operations.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Reconciliation of guidance regarding adjusted EBITDA, organic revenue growth and adjusted diluted EPS to the most directly comparable GAAP measures is not available without unreasonable efforts on a forward-looking basis due to the high variability, complexity, and low visibility with respect to commissions and fees, net income (loss), diluted earnings (loss) per share or other consolidated income statement data prepared in accordance with GAAP. The Company is currently unable to predict with a reasonable degree of certainty the type and extent of items that would be expected to impact these GAAP financial measures for these periods. The unavailable information could have a significant impact on the non-GAAP measures.</w:t>
      </w:r>
    </w:p>
    <w:p>
      <w:pPr>
        <w:pStyle w:val="TextBody"/>
        <w:bidi w:val="0"/>
        <w:spacing w:before="180" w:after="283"/>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15340"/>
                <wp:effectExtent l="0" t="0" r="0" b="0"/>
                <wp:wrapNone/>
                <wp:docPr id="13" name="Frame12"/>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9</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9</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Adjusted EBITDA and Adjusted EBITDA Margin</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The following table reconciles adjusted EBITDA and adjusted EBITDA margin to net income (loss), which we consider to be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352"/>
        <w:gridCol w:w="771"/>
        <w:gridCol w:w="776"/>
        <w:gridCol w:w="109"/>
        <w:gridCol w:w="109"/>
        <w:gridCol w:w="109"/>
        <w:gridCol w:w="226"/>
        <w:gridCol w:w="946"/>
        <w:gridCol w:w="271"/>
        <w:gridCol w:w="109"/>
        <w:gridCol w:w="109"/>
        <w:gridCol w:w="109"/>
        <w:gridCol w:w="226"/>
        <w:gridCol w:w="946"/>
        <w:gridCol w:w="271"/>
        <w:gridCol w:w="109"/>
        <w:gridCol w:w="109"/>
        <w:gridCol w:w="109"/>
        <w:gridCol w:w="226"/>
        <w:gridCol w:w="1126"/>
        <w:gridCol w:w="271"/>
        <w:gridCol w:w="109"/>
        <w:gridCol w:w="109"/>
        <w:gridCol w:w="109"/>
        <w:gridCol w:w="226"/>
        <w:gridCol w:w="946"/>
        <w:gridCol w:w="317"/>
      </w:tblGrid>
      <w:tr>
        <w:trPr/>
        <w:tc>
          <w:tcPr>
            <w:tcW w:w="135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Six Months</w:t>
              <w:br/>
              <w:t> Ended June 30,</w:t>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492,939 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378,811 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1,025,174 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792,216 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(55,981)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(57,877)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19,757 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51,892 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Interest expense, net</w:t>
            </w:r>
            <w:r>
              <w:rPr>
                <w:rFonts w:ascii="Open Sans;sans-serif" w:hAnsi="Open Sans;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61,296 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16,952 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29,755 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Transaction-related partnership and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Transaction closing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Income and other taxes</w:t>
            </w:r>
            <w:r>
              <w:rPr>
                <w:rFonts w:ascii="Open Sans;sans-serif" w:hAnsi="Open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(13,064)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Transformation costs</w:t>
            </w:r>
            <w:r>
              <w:rPr>
                <w:rFonts w:ascii="Open Sans;sans-serif" w:hAnsi="Open Sans;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Loss on extinguishment and modification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2,825 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Colleague earnout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(1,779)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Impairment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Loss (gain) on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Other</w:t>
            </w:r>
            <w:r>
              <w:rPr>
                <w:rFonts w:ascii="Open Sans;sans-serif" w:hAnsi="Open Sans;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13,831 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116,740 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85,512 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253,988 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199,307 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r>
    </w:tbl>
    <w:p>
      <w:pPr>
        <w:pStyle w:val="TextBody"/>
        <w:bidi w:val="0"/>
        <w:spacing w:lineRule="auto" w:line="417" w:before="0" w:after="0"/>
        <w:ind w:left="0" w:right="0" w:hanging="360"/>
        <w:jc w:val="both"/>
        <w:rPr>
          <w:rFonts w:ascii="Open Sans;sans-serif" w:hAnsi="Open Sans;sans-serif"/>
          <w:b w:val="false"/>
          <w:color w:val="000000"/>
          <w:sz w:val="18"/>
        </w:rPr>
      </w:pPr>
      <w:r>
        <w:rPr>
          <w:rFonts w:ascii="Open Sans;sans-serif" w:hAnsi="Open Sans;sans-serif"/>
          <w:b w:val="false"/>
          <w:color w:val="000000"/>
          <w:sz w:val="18"/>
        </w:rPr>
        <w:t>__________</w:t>
      </w:r>
    </w:p>
    <w:p>
      <w:pPr>
        <w:pStyle w:val="TextBody"/>
        <w:bidi w:val="0"/>
        <w:spacing w:lineRule="auto" w:line="324" w:before="0" w:after="0"/>
        <w:ind w:left="0" w:right="0" w:hanging="360"/>
        <w:jc w:val="left"/>
        <w:rPr>
          <w:rFonts w:ascii="Open Sans;sans-serif" w:hAnsi="Open Sans;sans-serif"/>
          <w:b w:val="false"/>
          <w:color w:val="000000"/>
          <w:sz w:val="16"/>
        </w:rPr>
      </w:pPr>
      <w:r>
        <w:rPr>
          <w:rFonts w:ascii="Open Sans;sans-serif" w:hAnsi="Open Sans;sans-serif"/>
          <w:b w:val="false"/>
          <w:color w:val="000000"/>
          <w:sz w:val="16"/>
        </w:rPr>
        <w:t>(1)    Interest expense, net does not include interest income on surplus notes.</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 xml:space="preserve">(2)    Income and other taxes include income tax expense/benefit, Tax Receivable Agreement expense and other operating tax expense, such as state taxes, under GAAP. </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(3)    Transformation costs represent certain non-recurring colleague compensation and technology-related expenses related to our $3B/30 Catalyst Program, which is designed to accelerate the infusion of automation, business process optimization and artificial intelligence to transform and elevate our workforce and unlock new avenues for growth.</w:t>
      </w:r>
    </w:p>
    <w:p>
      <w:pPr>
        <w:pStyle w:val="TextBody"/>
        <w:bidi w:val="0"/>
        <w:spacing w:lineRule="auto" w:line="324"/>
        <w:ind w:left="0" w:right="0" w:hanging="360"/>
        <w:jc w:val="both"/>
        <w:rPr>
          <w:rFonts w:ascii="Open Sans;sans-serif" w:hAnsi="Open Sans;sans-serif"/>
          <w:b w:val="false"/>
          <w:color w:val="000000"/>
          <w:sz w:val="16"/>
        </w:rPr>
      </w:pPr>
      <w:r>
        <w:rPr>
          <w:rFonts w:ascii="Open Sans;sans-serif" w:hAnsi="Open Sans;sans-serif"/>
          <w:b w:val="false"/>
          <w:color w:val="000000"/>
          <w:sz w:val="16"/>
        </w:rPr>
        <w:t>(4)    Other addbacks to adjusted EBITDA include certain income and expenses that are considered to be non-recurring or non-operational, including certain recruiting costs, professional fees, litigation costs and bonuses.</w:t>
      </w:r>
    </w:p>
    <w:p>
      <w:pPr>
        <w:pStyle w:val="TextBody"/>
        <w:bidi w:val="0"/>
        <w:spacing w:before="180" w:after="283"/>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15340"/>
                <wp:effectExtent l="0" t="0" r="0" b="0"/>
                <wp:wrapNone/>
                <wp:docPr id="14" name="Frame13"/>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10</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10</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Organic Revenue and Organic Revenue Growth</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The following table reconciles organic revenue and organic revenue growth to commissions and fees, which we consider to be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066"/>
        <w:gridCol w:w="914"/>
        <w:gridCol w:w="919"/>
        <w:gridCol w:w="109"/>
        <w:gridCol w:w="109"/>
        <w:gridCol w:w="109"/>
        <w:gridCol w:w="226"/>
        <w:gridCol w:w="946"/>
        <w:gridCol w:w="271"/>
        <w:gridCol w:w="109"/>
        <w:gridCol w:w="109"/>
        <w:gridCol w:w="109"/>
        <w:gridCol w:w="226"/>
        <w:gridCol w:w="946"/>
        <w:gridCol w:w="271"/>
        <w:gridCol w:w="109"/>
        <w:gridCol w:w="109"/>
        <w:gridCol w:w="109"/>
        <w:gridCol w:w="226"/>
        <w:gridCol w:w="1126"/>
        <w:gridCol w:w="271"/>
        <w:gridCol w:w="109"/>
        <w:gridCol w:w="109"/>
        <w:gridCol w:w="109"/>
        <w:gridCol w:w="226"/>
        <w:gridCol w:w="946"/>
        <w:gridCol w:w="317"/>
      </w:tblGrid>
      <w:tr>
        <w:trPr/>
        <w:tc>
          <w:tcPr>
            <w:tcW w:w="10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Three Months</w:t>
              <w:br/>
              <w:t> Ended June 30,</w:t>
            </w:r>
          </w:p>
        </w:tc>
        <w:tc>
          <w:tcPr>
            <w:tcW w:w="3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Six Months</w:t>
              <w:br/>
              <w:t> Ended June 30,</w:t>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488,789 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376,249 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1,017,650 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786,780 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Partnership commissions and fees</w:t>
            </w:r>
            <w:r>
              <w:rPr>
                <w:rFonts w:ascii="Open Sans;sans-serif" w:hAnsi="Open Sans;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(106,755)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(218,240)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(1,980)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Organic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382,034 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374,269 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799,410 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784,800 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Organic revenue growth</w:t>
            </w:r>
            <w:r>
              <w:rPr>
                <w:rFonts w:ascii="Open Sans;sans-serif" w:hAnsi="Open Sans;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37,973 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12,630 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76,192 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Organic revenue growth %</w:t>
            </w:r>
            <w:r>
              <w:rPr>
                <w:rFonts w:ascii="Open Sans;sans-serif" w:hAnsi="Open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w:t>
            </w:r>
          </w:p>
        </w:tc>
      </w:tr>
    </w:tbl>
    <w:p>
      <w:pPr>
        <w:pStyle w:val="TextBody"/>
        <w:bidi w:val="0"/>
        <w:spacing w:lineRule="auto" w:line="417" w:before="0" w:after="0"/>
        <w:jc w:val="both"/>
        <w:rPr>
          <w:rFonts w:ascii="Open Sans;sans-serif" w:hAnsi="Open Sans;sans-serif"/>
          <w:b w:val="false"/>
          <w:color w:val="000000"/>
          <w:sz w:val="18"/>
        </w:rPr>
      </w:pPr>
      <w:r>
        <w:rPr>
          <w:rFonts w:ascii="Open Sans;sans-serif" w:hAnsi="Open Sans;sans-serif"/>
          <w:b w:val="false"/>
          <w:color w:val="000000"/>
          <w:sz w:val="18"/>
        </w:rPr>
        <w:t>__________</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(1)    Includes the first 12 months of such commissions and fees generated from newly acquired partners.</w:t>
      </w:r>
    </w:p>
    <w:p>
      <w:pPr>
        <w:pStyle w:val="TextBody"/>
        <w:bidi w:val="0"/>
        <w:spacing w:lineRule="auto" w:line="324"/>
        <w:ind w:left="0" w:right="0" w:hanging="360"/>
        <w:jc w:val="both"/>
        <w:rPr/>
      </w:pPr>
      <w:r>
        <w:rPr>
          <w:rFonts w:ascii="Open Sans;sans-serif" w:hAnsi="Open Sans;sans-serif"/>
          <w:b w:val="false"/>
          <w:color w:val="000000"/>
          <w:sz w:val="16"/>
        </w:rPr>
        <w:t>(2)    Organic revenue for the three and six months ended June 30, 2025 used to calculate organic revenue growth for the three and six months ended June 30, 2026 was $376.3 million</w:t>
      </w:r>
      <w:r>
        <w:rPr>
          <w:color w:val="000000"/>
        </w:rPr>
        <w:t xml:space="preserve"> </w:t>
      </w:r>
      <w:r>
        <w:rPr>
          <w:rFonts w:ascii="Open Sans;sans-serif" w:hAnsi="Open Sans;sans-serif"/>
          <w:b w:val="false"/>
          <w:color w:val="000000"/>
          <w:sz w:val="18"/>
        </w:rPr>
        <w:t>and</w:t>
      </w:r>
      <w:r>
        <w:rPr>
          <w:color w:val="000000"/>
        </w:rPr>
        <w:t xml:space="preserve"> </w:t>
      </w:r>
      <w:r>
        <w:rPr>
          <w:rFonts w:ascii="Open Sans;sans-serif" w:hAnsi="Open Sans;sans-serif"/>
          <w:b w:val="false"/>
          <w:color w:val="000000"/>
          <w:sz w:val="16"/>
        </w:rPr>
        <w:t>$786.8 million, respectively, which is adjusted to exclude commissions and fees from divestitures that occurred during 2025.</w:t>
      </w:r>
    </w:p>
    <w:p>
      <w:pPr>
        <w:pStyle w:val="TextBody"/>
        <w:bidi w:val="0"/>
        <w:spacing w:before="180" w:after="283"/>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15340"/>
                <wp:effectExtent l="0" t="0" r="0" b="0"/>
                <wp:wrapNone/>
                <wp:docPr id="15" name="Frame14"/>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11</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11</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Adjusted Net Income and Adjusted Diluted EPS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 xml:space="preserve">The following table reconciles adjusted net income to net income attributable to Baldwin and reconciles adjusted diluted EPS to diluted earnings (loss) per share, which we consider to be the most directly comparable GAAP financial measures: </w:t>
      </w:r>
    </w:p>
    <w:tbl>
      <w:tblPr>
        <w:tblW w:w="10205" w:type="dxa"/>
        <w:jc w:val="left"/>
        <w:tblInd w:w="0" w:type="dxa"/>
        <w:tblLayout w:type="fixed"/>
        <w:tblCellMar>
          <w:top w:w="28" w:type="dxa"/>
          <w:left w:w="28" w:type="dxa"/>
          <w:bottom w:w="28" w:type="dxa"/>
          <w:right w:w="28" w:type="dxa"/>
        </w:tblCellMar>
      </w:tblPr>
      <w:tblGrid>
        <w:gridCol w:w="1812"/>
        <w:gridCol w:w="1058"/>
        <w:gridCol w:w="1064"/>
        <w:gridCol w:w="109"/>
        <w:gridCol w:w="109"/>
        <w:gridCol w:w="109"/>
        <w:gridCol w:w="226"/>
        <w:gridCol w:w="858"/>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6"/>
      </w:tblGrid>
      <w:tr>
        <w:trPr/>
        <w:tc>
          <w:tcPr>
            <w:tcW w:w="181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Six Months</w:t>
              <w:br/>
              <w:t> Ended June 30,</w:t>
            </w:r>
          </w:p>
        </w:tc>
      </w:tr>
      <w:tr>
        <w:trPr/>
        <w:tc>
          <w:tcPr>
            <w:tcW w:w="3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 attributable to Baldwin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51,892 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Transaction-related partnership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Transaction closing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Income tax expense</w:t>
            </w:r>
            <w:r>
              <w:rPr>
                <w:rFonts w:ascii="Open Sans;sans-serif" w:hAnsi="Open Sans;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Transformation costs</w:t>
            </w:r>
            <w:r>
              <w:rPr>
                <w:rFonts w:ascii="Open Sans;sans-serif" w:hAnsi="Open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Loss on extinguishment and modification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amortization/accretion,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Colleague earnout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Impairment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Loss (gain) on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Other</w:t>
            </w:r>
            <w:r>
              <w:rPr>
                <w:rFonts w:ascii="Open Sans;sans-serif" w:hAnsi="Open Sans;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76,006 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139,920 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Adjusted income taxes</w:t>
            </w:r>
            <w:r>
              <w:rPr>
                <w:rFonts w:ascii="Open Sans;sans-serif" w:hAnsi="Open Sans;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126,068 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Weighted-average shares of Class A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Dilutive weighted-average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Exchange of Class B common stock</w:t>
            </w:r>
            <w:r>
              <w:rPr>
                <w:rFonts w:ascii="Open Sans;sans-serif" w:hAnsi="Open Sans;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diluted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118,770 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Open Sans;sans-serif" w:hAnsi="Open Sans;sans-serif"/>
                <w:b w:val="false"/>
                <w:color w:val="000000"/>
                <w:sz w:val="18"/>
              </w:rPr>
            </w:pPr>
            <w:r>
              <w:rPr>
                <w:rFonts w:ascii="Open Sans;sans-serif" w:hAnsi="Open Sans;sans-serif"/>
                <w:b w:val="false"/>
                <w:color w:val="000000"/>
                <w:sz w:val="18"/>
              </w:rPr>
              <w:t>Effect of exchange of Class B common stock and net income (loss) attributable to noncontrolling interests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Other adjustments to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income taxes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Open Sans;sans-serif" w:hAnsi="Open Sans;sans-serif"/>
          <w:b w:val="false"/>
          <w:color w:val="000000"/>
          <w:sz w:val="18"/>
        </w:rPr>
      </w:pPr>
      <w:r>
        <w:rPr>
          <w:rFonts w:ascii="Open Sans;sans-serif" w:hAnsi="Open Sans;sans-serif"/>
          <w:b w:val="false"/>
          <w:color w:val="000000"/>
          <w:sz w:val="18"/>
        </w:rPr>
        <w:t>___________</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(1)    Income tax expense includes income tax expense/benefit and Tax Receivable Agreement expense.</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(2)    Transformation costs represent certain non-recurring colleague compensation and technology-related expenses related to our $3B/30 Catalyst Program, which is designed to accelerate the infusion of automation, business process optimization and artificial intelligence to transform and elevate our workforce and unlock new avenues for growth.</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(3)    Other addbacks to adjusted net income include certain income and expenses that are considered to be non-recurring or non-operational, including certain recruiting costs, professional fees, litigation costs and bonuses.</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(4)    Represents corporate income taxes at an assumed effective tax rate of 9.9% applied to adjusted pre-tax income.</w:t>
      </w:r>
    </w:p>
    <w:p>
      <w:pPr>
        <w:pStyle w:val="TextBody"/>
        <w:bidi w:val="0"/>
        <w:spacing w:lineRule="auto" w:line="324" w:before="0" w:after="0"/>
        <w:ind w:left="0" w:right="0" w:hanging="360"/>
        <w:jc w:val="both"/>
        <w:rPr>
          <w:rFonts w:ascii="Open Sans;sans-serif" w:hAnsi="Open Sans;sans-serif"/>
          <w:b w:val="false"/>
          <w:color w:val="000000"/>
          <w:sz w:val="16"/>
        </w:rPr>
      </w:pPr>
      <w:r>
        <w:rPr>
          <w:rFonts w:ascii="Open Sans;sans-serif" w:hAnsi="Open Sans;sans-serif"/>
          <w:b w:val="false"/>
          <w:color w:val="000000"/>
          <w:sz w:val="16"/>
        </w:rPr>
        <w:t>(5)    Assumes the full exchange of Class B common stock for Class A common stock pursuant to the Amended LLC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15340"/>
                <wp:effectExtent l="0" t="0" r="0" b="0"/>
                <wp:wrapNone/>
                <wp:docPr id="16" name="Frame15"/>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12</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12</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Adjusted Net Cash Provided by Operating Activities (“Adjusted Free Cash Flow”)</w:t>
      </w:r>
    </w:p>
    <w:p>
      <w:pPr>
        <w:pStyle w:val="TextBody"/>
        <w:bidi w:val="0"/>
        <w:spacing w:lineRule="auto" w:line="417" w:before="150" w:after="283"/>
        <w:jc w:val="both"/>
        <w:rPr>
          <w:rFonts w:ascii="Open Sans;sans-serif" w:hAnsi="Open Sans;sans-serif"/>
          <w:b w:val="false"/>
          <w:color w:val="000000"/>
          <w:sz w:val="18"/>
        </w:rPr>
      </w:pPr>
      <w:r>
        <w:rPr>
          <w:rFonts w:ascii="Open Sans;sans-serif" w:hAnsi="Open Sans;sans-serif"/>
          <w:b w:val="false"/>
          <w:color w:val="000000"/>
          <w:sz w:val="18"/>
        </w:rPr>
        <w:t>The following table reconciles adjusted free cash flow to net cash provided by (used in) operating activities, which we consider to be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602"/>
        <w:gridCol w:w="1249"/>
        <w:gridCol w:w="1257"/>
        <w:gridCol w:w="109"/>
        <w:gridCol w:w="109"/>
        <w:gridCol w:w="109"/>
        <w:gridCol w:w="226"/>
        <w:gridCol w:w="826"/>
        <w:gridCol w:w="109"/>
        <w:gridCol w:w="109"/>
        <w:gridCol w:w="109"/>
        <w:gridCol w:w="109"/>
        <w:gridCol w:w="226"/>
        <w:gridCol w:w="874"/>
        <w:gridCol w:w="109"/>
        <w:gridCol w:w="109"/>
        <w:gridCol w:w="109"/>
        <w:gridCol w:w="109"/>
        <w:gridCol w:w="226"/>
        <w:gridCol w:w="826"/>
        <w:gridCol w:w="109"/>
        <w:gridCol w:w="109"/>
        <w:gridCol w:w="109"/>
        <w:gridCol w:w="109"/>
        <w:gridCol w:w="226"/>
        <w:gridCol w:w="874"/>
        <w:gridCol w:w="158"/>
      </w:tblGrid>
      <w:tr>
        <w:trPr/>
        <w:tc>
          <w:tcPr>
            <w:tcW w:w="160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For the Six Months</w:t>
              <w:br/>
              <w:t> Ended June 30,</w:t>
            </w:r>
          </w:p>
        </w:tc>
      </w:tr>
      <w:tr>
        <w:trPr/>
        <w:tc>
          <w:tcPr>
            <w:tcW w:w="4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5"/>
              </w:rPr>
            </w:pPr>
            <w:r>
              <w:rPr>
                <w:rFonts w:ascii="Open Sans;sans-serif" w:hAnsi="Open Sans;sans-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(80,704)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Adjustments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Payment of contingent earnout consideration in excess of purchase price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85,090 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Payment of colleague earnout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30,061 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Adjusted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34,447 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15340"/>
                <wp:effectExtent l="0" t="0" r="0" b="0"/>
                <wp:wrapNone/>
                <wp:docPr id="17" name="Frame16"/>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13</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13</w:t>
                      </w:r>
                    </w:p>
                    <w:p>
                      <w:pPr>
                        <w:pStyle w:val="TextBody"/>
                        <w:bidi w:val="0"/>
                        <w:spacing w:before="180" w:after="283"/>
                        <w:jc w:val="center"/>
                        <w:rPr/>
                      </w:pPr>
                      <w:r>
                        <w:rPr/>
                      </w:r>
                    </w:p>
                  </w:txbxContent>
                </v:textbox>
                <w10:wrap type="none"/>
              </v:rect>
            </w:pict>
          </mc:Fallback>
        </mc:AlternateContent>
      </w:r>
    </w:p>
    <w:p>
      <w:pPr>
        <w:pStyle w:val="TextBody"/>
        <w:bidi w:val="0"/>
        <w:spacing w:lineRule="auto" w:line="417" w:before="240" w:after="283"/>
        <w:jc w:val="left"/>
        <w:rPr>
          <w:rFonts w:ascii="Open Sans;sans-serif" w:hAnsi="Open Sans;sans-serif"/>
          <w:b/>
          <w:color w:val="000000"/>
          <w:sz w:val="18"/>
        </w:rPr>
      </w:pPr>
      <w:r>
        <w:rPr>
          <w:rFonts w:ascii="Open Sans;sans-serif" w:hAnsi="Open Sans;sans-serif"/>
          <w:b/>
          <w:color w:val="000000"/>
          <w:sz w:val="18"/>
        </w:rPr>
        <w:t>COMMONLY USED DEFINED TERMS</w:t>
      </w:r>
    </w:p>
    <w:p>
      <w:pPr>
        <w:pStyle w:val="TextBody"/>
        <w:bidi w:val="0"/>
        <w:spacing w:lineRule="auto" w:line="417" w:before="180" w:after="283"/>
        <w:jc w:val="both"/>
        <w:rPr>
          <w:rFonts w:ascii="Open Sans;sans-serif" w:hAnsi="Open Sans;sans-serif"/>
          <w:b w:val="false"/>
          <w:color w:val="000000"/>
          <w:sz w:val="18"/>
        </w:rPr>
      </w:pPr>
      <w:r>
        <w:rPr>
          <w:rFonts w:ascii="Open Sans;sans-serif" w:hAnsi="Open Sans;sans-serif"/>
          <w:b w:val="false"/>
          <w:color w:val="000000"/>
          <w:sz w:val="18"/>
        </w:rPr>
        <w:t>The following terms have the following meanings throughout this press release unless the context indicates or requires otherwise:</w:t>
      </w:r>
    </w:p>
    <w:tbl>
      <w:tblPr>
        <w:tblW w:w="10205" w:type="dxa"/>
        <w:jc w:val="left"/>
        <w:tblInd w:w="0" w:type="dxa"/>
        <w:tblLayout w:type="fixed"/>
        <w:tblCellMar>
          <w:top w:w="28" w:type="dxa"/>
          <w:left w:w="28" w:type="dxa"/>
          <w:bottom w:w="28" w:type="dxa"/>
          <w:right w:w="28" w:type="dxa"/>
        </w:tblCellMar>
      </w:tblPr>
      <w:tblGrid>
        <w:gridCol w:w="756"/>
        <w:gridCol w:w="601"/>
        <w:gridCol w:w="605"/>
        <w:gridCol w:w="109"/>
        <w:gridCol w:w="109"/>
        <w:gridCol w:w="109"/>
        <w:gridCol w:w="2358"/>
        <w:gridCol w:w="2295"/>
        <w:gridCol w:w="3263"/>
      </w:tblGrid>
      <w:tr>
        <w:trPr/>
        <w:tc>
          <w:tcPr>
            <w:tcW w:w="7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Amended LLC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Third Amended and Restated Limited Liability Company Agreement of The Baldwin Insurance Group Holdings, LLC (formerly Baldwin Risk Partners, LLC), as amended</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clients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Our insureds</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colleagues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Our employees</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Accounting principles generally accepted in the United States of America</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insurance company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Insurance companies with which we have a contractual relationship</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Companies that we have acquired, or in the case of asset acquisitions, the producers</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Strategic acquisitions made by the Company</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pen Sans;sans-serif" w:hAnsi="Open Sans;sans-serif"/>
                <w:b w:val="false"/>
                <w:color w:val="000000"/>
                <w:sz w:val="18"/>
              </w:rPr>
            </w:pPr>
            <w:r>
              <w:rPr>
                <w:rFonts w:ascii="Open Sans;sans-serif" w:hAnsi="Open Sans;sans-serif"/>
                <w:b w:val="false"/>
                <w:color w:val="000000"/>
                <w:sz w:val="18"/>
              </w:rPr>
              <w:t>U.S. Securities and Exchange Commission</w:t>
            </w:r>
          </w:p>
        </w:tc>
      </w:tr>
    </w:tbl>
    <w:p>
      <w:pPr>
        <w:pStyle w:val="TextBody"/>
        <w:bidi w:val="0"/>
        <w:spacing w:before="0" w:after="283"/>
        <w:ind w:left="0" w:right="0" w:hanging="351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15340"/>
                <wp:effectExtent l="0" t="0" r="0" b="0"/>
                <wp:wrapNone/>
                <wp:docPr id="18" name="Frame17"/>
                <a:graphic xmlns:a="http://schemas.openxmlformats.org/drawingml/2006/main">
                  <a:graphicData uri="http://schemas.microsoft.com/office/word/2010/wordprocessingShape">
                    <wps:wsp>
                      <wps:cNvSpPr txBox="1"/>
                      <wps:spPr>
                        <a:xfrm>
                          <a:off x="0" y="0"/>
                          <a:ext cx="6480175" cy="815340"/>
                        </a:xfrm>
                        <a:prstGeom prst="rect"/>
                        <a:solidFill>
                          <a:srgbClr val="FFFFFF"/>
                        </a:solidFill>
                      </wps:spPr>
                      <wps:txb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14</w:t>
                            </w:r>
                            <w:r>
                              <w:br w:type="page"/>
                            </w:r>
                          </w:p>
                          <w:p>
                            <w:pPr>
                              <w:pStyle w:val="TextBody"/>
                              <w:bidi w:val="0"/>
                              <w:spacing w:before="1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pt;mso-wrap-distance-left:0pt;mso-wrap-distance-right:0pt;mso-wrap-distance-top:0pt;mso-wrap-distance-bottom:0pt;margin-top:0pt;mso-position-vertical:top;mso-position-vertical-relative:text;margin-left:118.8pt;mso-position-horizontal:left;mso-position-horizontal-relative:text">
                <v:textbox>
                  <w:txbxContent>
                    <w:p>
                      <w:pPr>
                        <w:pStyle w:val="TextBody"/>
                        <w:bidi w:val="0"/>
                        <w:spacing w:lineRule="auto" w:line="417" w:before="180" w:after="283"/>
                        <w:jc w:val="center"/>
                        <w:rPr>
                          <w:rFonts w:ascii="Open Sans;sans-serif" w:hAnsi="Open Sans;sans-serif"/>
                          <w:b w:val="false"/>
                          <w:color w:val="000000"/>
                          <w:sz w:val="18"/>
                        </w:rPr>
                      </w:pPr>
                      <w:r>
                        <w:rPr>
                          <w:rFonts w:ascii="Open Sans;sans-serif" w:hAnsi="Open Sans;sans-serif"/>
                          <w:b w:val="false"/>
                          <w:color w:val="000000"/>
                          <w:sz w:val="18"/>
                        </w:rPr>
                        <w:t>14</w:t>
                      </w:r>
                    </w:p>
                    <w:p>
                      <w:pPr>
                        <w:pStyle w:val="TextBody"/>
                        <w:bidi w:val="0"/>
                        <w:spacing w:before="18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5177</Words>
  <Characters>30206</Characters>
  <CharactersWithSpaces>34864</CharactersWithSpaces>
  <Paragraphs>1033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