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______________________________</w:t>
      </w:r>
    </w:p>
    <w:p>
      <w:pPr>
        <w:pStyle w:val="TextBody"/>
        <w:bidi w:val="0"/>
        <w:spacing w:lineRule="auto" w:line="288" w:before="8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lineRule="auto" w:line="288" w:before="180" w:after="283"/>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September 21, 2026</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______________________________</w:t>
      </w:r>
    </w:p>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 xml:space="preserve">The Baldwin Insurance Group, Inc.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______________________________</w:t>
      </w:r>
    </w:p>
    <w:tbl>
      <w:tblPr>
        <w:tblW w:w="6199" w:type="dxa"/>
        <w:jc w:val="left"/>
        <w:tblInd w:w="0" w:type="dxa"/>
        <w:tblLayout w:type="fixed"/>
        <w:tblCellMar>
          <w:top w:w="28" w:type="dxa"/>
          <w:left w:w="28" w:type="dxa"/>
          <w:bottom w:w="28" w:type="dxa"/>
          <w:right w:w="28" w:type="dxa"/>
        </w:tblCellMar>
      </w:tblPr>
      <w:tblGrid>
        <w:gridCol w:w="124"/>
        <w:gridCol w:w="109"/>
        <w:gridCol w:w="109"/>
        <w:gridCol w:w="782"/>
        <w:gridCol w:w="782"/>
        <w:gridCol w:w="791"/>
        <w:gridCol w:w="109"/>
        <w:gridCol w:w="109"/>
        <w:gridCol w:w="109"/>
        <w:gridCol w:w="344"/>
        <w:gridCol w:w="344"/>
        <w:gridCol w:w="348"/>
        <w:gridCol w:w="109"/>
        <w:gridCol w:w="109"/>
        <w:gridCol w:w="109"/>
        <w:gridCol w:w="479"/>
        <w:gridCol w:w="479"/>
        <w:gridCol w:w="48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001-39095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61-1937225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4211 W. Boy Scout Blvd., Suite 800, Tampa, Florida 33607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283"/>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(866) 279-0698 </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tbl>
      <w:tblPr>
        <w:tblW w:w="10205" w:type="dxa"/>
        <w:jc w:val="center"/>
        <w:tblInd w:w="0" w:type="dxa"/>
        <w:tblLayout w:type="fixed"/>
        <w:tblCellMar>
          <w:top w:w="28" w:type="dxa"/>
          <w:left w:w="28" w:type="dxa"/>
          <w:bottom w:w="28" w:type="dxa"/>
          <w:right w:w="28" w:type="dxa"/>
        </w:tblCellMar>
      </w:tblPr>
      <w:tblGrid>
        <w:gridCol w:w="1490"/>
        <w:gridCol w:w="1313"/>
        <w:gridCol w:w="1313"/>
        <w:gridCol w:w="2120"/>
        <w:gridCol w:w="1787"/>
        <w:gridCol w:w="1806"/>
        <w:gridCol w:w="109"/>
        <w:gridCol w:w="109"/>
        <w:gridCol w:w="158"/>
      </w:tblGrid>
      <w:tr>
        <w:trPr/>
        <w:tc>
          <w:tcPr>
            <w:tcW w:w="1490"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82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 (b) under the Exchange Act (17 CFR 240.14d-2(b))</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9411" w:type="dxa"/>
        <w:jc w:val="center"/>
        <w:tblInd w:w="0" w:type="dxa"/>
        <w:tblLayout w:type="fixed"/>
        <w:tblCellMar>
          <w:top w:w="28" w:type="dxa"/>
          <w:left w:w="28" w:type="dxa"/>
          <w:bottom w:w="28" w:type="dxa"/>
          <w:right w:w="28" w:type="dxa"/>
        </w:tblCellMar>
      </w:tblPr>
      <w:tblGrid>
        <w:gridCol w:w="1442"/>
        <w:gridCol w:w="1265"/>
        <w:gridCol w:w="1282"/>
        <w:gridCol w:w="109"/>
        <w:gridCol w:w="109"/>
        <w:gridCol w:w="109"/>
        <w:gridCol w:w="484"/>
        <w:gridCol w:w="484"/>
        <w:gridCol w:w="486"/>
        <w:gridCol w:w="109"/>
        <w:gridCol w:w="109"/>
        <w:gridCol w:w="109"/>
        <w:gridCol w:w="970"/>
        <w:gridCol w:w="970"/>
        <w:gridCol w:w="1374"/>
      </w:tblGrid>
      <w:tr>
        <w:trPr/>
        <w:tc>
          <w:tcPr>
            <w:tcW w:w="144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BWIN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bl>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844" w:type="dxa"/>
        <w:jc w:val="center"/>
        <w:tblInd w:w="0" w:type="dxa"/>
        <w:tblLayout w:type="fixed"/>
        <w:tblCellMar>
          <w:top w:w="28" w:type="dxa"/>
          <w:left w:w="28" w:type="dxa"/>
          <w:bottom w:w="28" w:type="dxa"/>
          <w:right w:w="28" w:type="dxa"/>
        </w:tblCellMar>
      </w:tblPr>
      <w:tblGrid>
        <w:gridCol w:w="124"/>
        <w:gridCol w:w="109"/>
        <w:gridCol w:w="109"/>
        <w:gridCol w:w="709"/>
        <w:gridCol w:w="709"/>
        <w:gridCol w:w="71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8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As previously disclosed, on June 4, 2026, the Board of Directors of The Baldwin Insurance Group, Inc. (the “Company”) appointed Johnathan Daniel to serve as interim Chief Accounting Officer of the Company during Corbyn Lichon’s maternity leave. Effective September 21, 2026, (i) Corbyn Lichon resumed her role as Chief Accounting Officer of the Company and (ii) Mr. Daniel ceased serving as interim Chief Accounting Officer of the Company and resumed his role as Executive Director of Finance of the Company.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 compensatory arrangements were entered into or modified in connection with Ms. Lichon’s return to her duties or the cessation of Mr. Daniel’s interim appointment.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89560"/>
                <wp:effectExtent l="0" t="0" r="0" b="0"/>
                <wp:wrapNone/>
                <wp:docPr id="2" name="Frame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085" w:type="dxa"/>
        <w:jc w:val="center"/>
        <w:tblInd w:w="0" w:type="dxa"/>
        <w:tblLayout w:type="fixed"/>
        <w:tblCellMar>
          <w:top w:w="28" w:type="dxa"/>
          <w:left w:w="28" w:type="dxa"/>
          <w:bottom w:w="28" w:type="dxa"/>
          <w:right w:w="28" w:type="dxa"/>
        </w:tblCellMar>
      </w:tblPr>
      <w:tblGrid>
        <w:gridCol w:w="802"/>
        <w:gridCol w:w="707"/>
        <w:gridCol w:w="711"/>
        <w:gridCol w:w="134"/>
        <w:gridCol w:w="134"/>
        <w:gridCol w:w="136"/>
        <w:gridCol w:w="484"/>
        <w:gridCol w:w="484"/>
        <w:gridCol w:w="484"/>
        <w:gridCol w:w="584"/>
        <w:gridCol w:w="584"/>
        <w:gridCol w:w="841"/>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The Baldwin Insurance Group,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21,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4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Bradford L. Hale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Bradford L. Hale</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89560"/>
                <wp:effectExtent l="0" t="0" r="0" b="0"/>
                <wp:wrapNone/>
                <wp:docPr id="3" name="Frame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497</Words>
  <Characters>2844</Characters>
  <CharactersWithSpaces>3286</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